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7C32B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7C32B2">
              <w:rPr>
                <w:rFonts w:eastAsia="Times New Roman"/>
                <w:color w:val="333333"/>
                <w:sz w:val="24"/>
                <w:szCs w:val="24"/>
                <w:lang w:eastAsia="ru-RU"/>
              </w:rPr>
              <w:t>Факт</w:t>
            </w:r>
            <w:r>
              <w:rPr>
                <w:rFonts w:eastAsia="Times New Roman"/>
                <w:color w:val="333333"/>
                <w:sz w:val="24"/>
                <w:szCs w:val="24"/>
                <w:lang w:eastAsia="ru-RU"/>
              </w:rPr>
              <w:t xml:space="preserve"> на 201</w:t>
            </w:r>
            <w:r w:rsidR="00D02F54">
              <w:rPr>
                <w:rFonts w:eastAsia="Times New Roman"/>
                <w:color w:val="333333"/>
                <w:sz w:val="24"/>
                <w:szCs w:val="24"/>
                <w:lang w:eastAsia="ru-RU"/>
              </w:rPr>
              <w:t>5</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7C32B2" w:rsidP="007C32B2">
            <w:pPr>
              <w:rPr>
                <w:sz w:val="24"/>
                <w:szCs w:val="24"/>
              </w:rPr>
            </w:pPr>
            <w:r>
              <w:rPr>
                <w:sz w:val="24"/>
                <w:szCs w:val="24"/>
              </w:rPr>
              <w:t>13426,3</w:t>
            </w:r>
          </w:p>
        </w:tc>
      </w:tr>
      <w:tr w:rsidR="00B24E19" w:rsidTr="008E69DE">
        <w:tc>
          <w:tcPr>
            <w:tcW w:w="8755" w:type="dxa"/>
          </w:tcPr>
          <w:p w:rsidR="00B24E19" w:rsidRDefault="00B24E19"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D02F54">
              <w:rPr>
                <w:rFonts w:eastAsia="Times New Roman"/>
                <w:color w:val="333333"/>
                <w:sz w:val="24"/>
                <w:szCs w:val="24"/>
                <w:lang w:eastAsia="ru-RU"/>
              </w:rPr>
              <w:t>6</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D02F54">
            <w:pPr>
              <w:rPr>
                <w:sz w:val="24"/>
                <w:szCs w:val="24"/>
              </w:rPr>
            </w:pPr>
            <w:r>
              <w:rPr>
                <w:sz w:val="24"/>
                <w:szCs w:val="24"/>
              </w:rPr>
              <w:t>11410,5</w:t>
            </w:r>
          </w:p>
        </w:tc>
      </w:tr>
      <w:tr w:rsidR="00B24E19" w:rsidTr="008E69DE">
        <w:tc>
          <w:tcPr>
            <w:tcW w:w="8755" w:type="dxa"/>
          </w:tcPr>
          <w:p w:rsidR="00B24E19" w:rsidRDefault="00B24E19"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на 201</w:t>
            </w:r>
            <w:r w:rsidR="000D441D">
              <w:rPr>
                <w:rFonts w:eastAsia="Times New Roman"/>
                <w:color w:val="333333"/>
                <w:sz w:val="24"/>
                <w:szCs w:val="24"/>
                <w:lang w:eastAsia="ru-RU"/>
              </w:rPr>
              <w:t>5</w:t>
            </w:r>
            <w:r w:rsidR="006E5B7E">
              <w:rPr>
                <w:rFonts w:eastAsia="Times New Roman"/>
                <w:color w:val="333333"/>
                <w:sz w:val="24"/>
                <w:szCs w:val="24"/>
                <w:lang w:eastAsia="ru-RU"/>
              </w:rPr>
              <w:t xml:space="preserve">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0D441D">
            <w:pPr>
              <w:rPr>
                <w:sz w:val="24"/>
                <w:szCs w:val="24"/>
              </w:rPr>
            </w:pPr>
            <w:r>
              <w:rPr>
                <w:sz w:val="24"/>
                <w:szCs w:val="24"/>
              </w:rPr>
              <w:t>9114,32</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w:t>
            </w:r>
            <w:r w:rsidR="00D02F54">
              <w:rPr>
                <w:rFonts w:eastAsia="Times New Roman"/>
                <w:color w:val="333333"/>
                <w:sz w:val="24"/>
                <w:szCs w:val="24"/>
                <w:lang w:eastAsia="ru-RU"/>
              </w:rPr>
              <w:t>4</w:t>
            </w:r>
            <w:r>
              <w:rPr>
                <w:rFonts w:eastAsia="Times New Roman"/>
                <w:color w:val="333333"/>
                <w:sz w:val="24"/>
                <w:szCs w:val="24"/>
                <w:lang w:eastAsia="ru-RU"/>
              </w:rPr>
              <w:t>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02F54">
              <w:rPr>
                <w:rFonts w:eastAsia="Times New Roman"/>
                <w:color w:val="333333"/>
                <w:sz w:val="24"/>
                <w:szCs w:val="24"/>
                <w:lang w:eastAsia="ru-RU"/>
              </w:rPr>
              <w:t>5</w:t>
            </w:r>
            <w:r>
              <w:rPr>
                <w:rFonts w:eastAsia="Times New Roman"/>
                <w:color w:val="333333"/>
                <w:sz w:val="24"/>
                <w:szCs w:val="24"/>
                <w:lang w:eastAsia="ru-RU"/>
              </w:rPr>
              <w:t>г.</w:t>
            </w:r>
          </w:p>
          <w:p w:rsidR="00B063D7" w:rsidRDefault="00392351" w:rsidP="00D02F54">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D02F54">
              <w:rPr>
                <w:rFonts w:eastAsia="Times New Roman"/>
                <w:color w:val="333333"/>
                <w:sz w:val="24"/>
                <w:szCs w:val="24"/>
                <w:lang w:eastAsia="ru-RU"/>
              </w:rPr>
              <w:t>6</w:t>
            </w:r>
            <w:r>
              <w:rPr>
                <w:rFonts w:eastAsia="Times New Roman"/>
                <w:color w:val="333333"/>
                <w:sz w:val="24"/>
                <w:szCs w:val="24"/>
                <w:lang w:eastAsia="ru-RU"/>
              </w:rPr>
              <w:t>г.</w:t>
            </w:r>
          </w:p>
        </w:tc>
        <w:tc>
          <w:tcPr>
            <w:tcW w:w="1808" w:type="dxa"/>
          </w:tcPr>
          <w:p w:rsidR="00D02F54" w:rsidRDefault="00D02F54" w:rsidP="00D02F54">
            <w:pPr>
              <w:rPr>
                <w:sz w:val="24"/>
                <w:szCs w:val="24"/>
              </w:rPr>
            </w:pPr>
            <w:r>
              <w:rPr>
                <w:sz w:val="24"/>
                <w:szCs w:val="24"/>
              </w:rPr>
              <w:t>23,73</w:t>
            </w:r>
          </w:p>
          <w:p w:rsidR="00D02F54" w:rsidRDefault="00D02F54" w:rsidP="00D02F54">
            <w:pPr>
              <w:rPr>
                <w:sz w:val="24"/>
                <w:szCs w:val="24"/>
              </w:rPr>
            </w:pPr>
            <w:r>
              <w:rPr>
                <w:sz w:val="24"/>
                <w:szCs w:val="24"/>
              </w:rPr>
              <w:t>40,947</w:t>
            </w:r>
          </w:p>
          <w:p w:rsidR="00392351" w:rsidRPr="00F50EA2" w:rsidRDefault="00D02F54" w:rsidP="00D02F54">
            <w:pPr>
              <w:rPr>
                <w:sz w:val="24"/>
                <w:szCs w:val="24"/>
              </w:rPr>
            </w:pPr>
            <w:r>
              <w:rPr>
                <w:sz w:val="24"/>
                <w:szCs w:val="24"/>
              </w:rPr>
              <w:t>36,808</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0D441D">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392351">
              <w:rPr>
                <w:sz w:val="24"/>
                <w:szCs w:val="24"/>
              </w:rPr>
              <w:t>5</w:t>
            </w:r>
            <w:r w:rsidR="000D441D">
              <w:rPr>
                <w:sz w:val="24"/>
                <w:szCs w:val="24"/>
              </w:rPr>
              <w:t>8</w:t>
            </w:r>
            <w:r w:rsidR="00392351">
              <w:rPr>
                <w:sz w:val="24"/>
                <w:szCs w:val="24"/>
              </w:rPr>
              <w:t>/</w:t>
            </w:r>
            <w:r w:rsidR="000D441D">
              <w:rPr>
                <w:sz w:val="24"/>
                <w:szCs w:val="24"/>
              </w:rPr>
              <w:t>5</w:t>
            </w:r>
            <w:r>
              <w:rPr>
                <w:sz w:val="24"/>
                <w:szCs w:val="24"/>
              </w:rPr>
              <w:t xml:space="preserve"> от</w:t>
            </w:r>
            <w:r w:rsidR="000D441D">
              <w:rPr>
                <w:sz w:val="24"/>
                <w:szCs w:val="24"/>
              </w:rPr>
              <w:t xml:space="preserve"> 12</w:t>
            </w:r>
            <w:r>
              <w:rPr>
                <w:sz w:val="24"/>
                <w:szCs w:val="24"/>
              </w:rPr>
              <w:t>.</w:t>
            </w:r>
            <w:r w:rsidR="00392351">
              <w:rPr>
                <w:sz w:val="24"/>
                <w:szCs w:val="24"/>
              </w:rPr>
              <w:t>1</w:t>
            </w:r>
            <w:r w:rsidR="005C2651">
              <w:rPr>
                <w:sz w:val="24"/>
                <w:szCs w:val="24"/>
              </w:rPr>
              <w:t>2</w:t>
            </w:r>
            <w:r>
              <w:rPr>
                <w:sz w:val="24"/>
                <w:szCs w:val="24"/>
              </w:rPr>
              <w:t>.1</w:t>
            </w:r>
            <w:r w:rsidR="000D441D">
              <w:rPr>
                <w:sz w:val="24"/>
                <w:szCs w:val="24"/>
              </w:rPr>
              <w:t>4</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0D441D">
              <w:rPr>
                <w:rFonts w:eastAsia="Times New Roman"/>
                <w:color w:val="333333"/>
                <w:sz w:val="24"/>
                <w:szCs w:val="24"/>
                <w:lang w:eastAsia="ru-RU"/>
              </w:rPr>
              <w:t>июнь</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p w:rsidR="000D441D" w:rsidRDefault="000D441D"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июль – декабрь 2015г</w:t>
            </w:r>
          </w:p>
        </w:tc>
        <w:tc>
          <w:tcPr>
            <w:tcW w:w="1808" w:type="dxa"/>
          </w:tcPr>
          <w:p w:rsidR="007151D8" w:rsidRDefault="007151D8" w:rsidP="007336C1">
            <w:pPr>
              <w:spacing w:line="360" w:lineRule="auto"/>
              <w:rPr>
                <w:sz w:val="24"/>
                <w:szCs w:val="24"/>
              </w:rPr>
            </w:pPr>
          </w:p>
          <w:p w:rsidR="007336C1" w:rsidRDefault="00392351" w:rsidP="007336C1">
            <w:pPr>
              <w:spacing w:line="360" w:lineRule="auto"/>
              <w:rPr>
                <w:sz w:val="24"/>
                <w:szCs w:val="24"/>
              </w:rPr>
            </w:pPr>
            <w:r>
              <w:rPr>
                <w:sz w:val="24"/>
                <w:szCs w:val="24"/>
              </w:rPr>
              <w:t>17,64</w:t>
            </w:r>
          </w:p>
          <w:p w:rsidR="000D441D" w:rsidRPr="00F50EA2" w:rsidRDefault="000D441D" w:rsidP="007336C1">
            <w:pPr>
              <w:spacing w:line="360" w:lineRule="auto"/>
              <w:rPr>
                <w:sz w:val="24"/>
                <w:szCs w:val="24"/>
              </w:rPr>
            </w:pPr>
            <w:r>
              <w:rPr>
                <w:sz w:val="24"/>
                <w:szCs w:val="24"/>
              </w:rPr>
              <w:t>20,53</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Цена (тариф) с 01 января по 30 июня 201</w:t>
            </w:r>
            <w:r w:rsidR="000D441D">
              <w:rPr>
                <w:rFonts w:eastAsia="Times New Roman"/>
                <w:color w:val="333333"/>
                <w:sz w:val="24"/>
                <w:szCs w:val="24"/>
                <w:lang w:eastAsia="ru-RU"/>
              </w:rPr>
              <w:t>5</w:t>
            </w:r>
            <w:r>
              <w:rPr>
                <w:rFonts w:eastAsia="Times New Roman"/>
                <w:color w:val="333333"/>
                <w:sz w:val="24"/>
                <w:szCs w:val="24"/>
                <w:lang w:eastAsia="ru-RU"/>
              </w:rPr>
              <w:t>г.</w:t>
            </w:r>
          </w:p>
          <w:p w:rsidR="00105194" w:rsidRDefault="00105194"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 xml:space="preserve">УТР № </w:t>
            </w:r>
            <w:r w:rsidR="000D441D">
              <w:rPr>
                <w:sz w:val="24"/>
                <w:szCs w:val="24"/>
              </w:rPr>
              <w:t>62</w:t>
            </w:r>
            <w:r>
              <w:rPr>
                <w:sz w:val="24"/>
                <w:szCs w:val="24"/>
              </w:rPr>
              <w:t>/</w:t>
            </w:r>
            <w:r w:rsidR="000D441D">
              <w:rPr>
                <w:sz w:val="24"/>
                <w:szCs w:val="24"/>
              </w:rPr>
              <w:t>36</w:t>
            </w:r>
          </w:p>
          <w:p w:rsidR="00105194" w:rsidRDefault="005C2651">
            <w:pPr>
              <w:rPr>
                <w:sz w:val="24"/>
                <w:szCs w:val="24"/>
              </w:rPr>
            </w:pPr>
            <w:r>
              <w:rPr>
                <w:sz w:val="24"/>
                <w:szCs w:val="24"/>
              </w:rPr>
              <w:lastRenderedPageBreak/>
              <w:t xml:space="preserve">От </w:t>
            </w:r>
            <w:r w:rsidR="00392351">
              <w:rPr>
                <w:sz w:val="24"/>
                <w:szCs w:val="24"/>
              </w:rPr>
              <w:t>19</w:t>
            </w:r>
            <w:r w:rsidR="00753AFB">
              <w:rPr>
                <w:sz w:val="24"/>
                <w:szCs w:val="24"/>
              </w:rPr>
              <w:t>.1</w:t>
            </w:r>
            <w:r w:rsidR="00392351">
              <w:rPr>
                <w:sz w:val="24"/>
                <w:szCs w:val="24"/>
              </w:rPr>
              <w:t>2</w:t>
            </w:r>
            <w:r w:rsidR="00753AFB">
              <w:rPr>
                <w:sz w:val="24"/>
                <w:szCs w:val="24"/>
              </w:rPr>
              <w:t>.1</w:t>
            </w:r>
            <w:r w:rsidR="000D441D">
              <w:rPr>
                <w:sz w:val="24"/>
                <w:szCs w:val="24"/>
              </w:rPr>
              <w:t>4</w:t>
            </w:r>
            <w:r w:rsidR="00753AFB">
              <w:rPr>
                <w:sz w:val="24"/>
                <w:szCs w:val="24"/>
              </w:rPr>
              <w:t>г.</w:t>
            </w:r>
          </w:p>
          <w:p w:rsidR="00105194" w:rsidRDefault="00392351">
            <w:pPr>
              <w:rPr>
                <w:sz w:val="24"/>
                <w:szCs w:val="24"/>
              </w:rPr>
            </w:pPr>
            <w:r>
              <w:rPr>
                <w:sz w:val="24"/>
                <w:szCs w:val="24"/>
              </w:rPr>
              <w:t>1,</w:t>
            </w:r>
            <w:r w:rsidR="000D441D">
              <w:rPr>
                <w:sz w:val="24"/>
                <w:szCs w:val="24"/>
              </w:rPr>
              <w:t>70</w:t>
            </w:r>
            <w:r>
              <w:rPr>
                <w:sz w:val="24"/>
                <w:szCs w:val="24"/>
              </w:rPr>
              <w:t>8</w:t>
            </w:r>
          </w:p>
          <w:p w:rsidR="00105194" w:rsidRPr="00F50EA2" w:rsidRDefault="00EE3C12" w:rsidP="000D441D">
            <w:pPr>
              <w:rPr>
                <w:sz w:val="24"/>
                <w:szCs w:val="24"/>
              </w:rPr>
            </w:pPr>
            <w:r>
              <w:rPr>
                <w:sz w:val="24"/>
                <w:szCs w:val="24"/>
              </w:rPr>
              <w:t>1,</w:t>
            </w:r>
            <w:r w:rsidR="00392351">
              <w:rPr>
                <w:sz w:val="24"/>
                <w:szCs w:val="24"/>
              </w:rPr>
              <w:t>78</w:t>
            </w:r>
            <w:r w:rsidR="000D441D">
              <w:rPr>
                <w:sz w:val="24"/>
                <w:szCs w:val="24"/>
              </w:rPr>
              <w:t>0</w:t>
            </w:r>
          </w:p>
        </w:tc>
      </w:tr>
      <w:tr w:rsidR="006B097B" w:rsidTr="008E69DE">
        <w:trPr>
          <w:trHeight w:val="699"/>
        </w:trPr>
        <w:tc>
          <w:tcPr>
            <w:tcW w:w="8755" w:type="dxa"/>
            <w:tcBorders>
              <w:bottom w:val="single" w:sz="4" w:space="0" w:color="000000" w:themeColor="text1"/>
            </w:tcBorders>
          </w:tcPr>
          <w:p w:rsidR="006B097B" w:rsidRDefault="006B097B"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а.1) </w:t>
            </w:r>
            <w:r w:rsidRPr="006B097B">
              <w:rPr>
                <w:rFonts w:eastAsia="Times New Roman"/>
                <w:sz w:val="24"/>
                <w:szCs w:val="24"/>
                <w:lang w:eastAsia="ru-RU"/>
              </w:rPr>
              <w:t>информация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w:t>
            </w:r>
            <w:r w:rsidRPr="00D51229">
              <w:rPr>
                <w:rFonts w:eastAsia="Times New Roman"/>
                <w:sz w:val="24"/>
                <w:szCs w:val="24"/>
                <w:lang w:eastAsia="ru-RU"/>
              </w:rPr>
              <w:t xml:space="preserve">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08" w:type="dxa"/>
          </w:tcPr>
          <w:p w:rsidR="006B097B" w:rsidRPr="00F50EA2" w:rsidRDefault="006B097B" w:rsidP="006B097B">
            <w:pPr>
              <w:rPr>
                <w:sz w:val="24"/>
                <w:szCs w:val="24"/>
              </w:rPr>
            </w:pPr>
            <w:r w:rsidRPr="00F50EA2">
              <w:rPr>
                <w:sz w:val="24"/>
                <w:szCs w:val="24"/>
              </w:rPr>
              <w:t>Приложени</w:t>
            </w:r>
            <w:r>
              <w:rPr>
                <w:sz w:val="24"/>
                <w:szCs w:val="24"/>
              </w:rPr>
              <w:t>я</w:t>
            </w:r>
          </w:p>
          <w:p w:rsidR="006B097B" w:rsidRDefault="006B097B" w:rsidP="006B097B">
            <w:pPr>
              <w:rPr>
                <w:sz w:val="24"/>
                <w:szCs w:val="24"/>
              </w:rPr>
            </w:pPr>
            <w:r w:rsidRPr="00F50EA2">
              <w:rPr>
                <w:sz w:val="24"/>
                <w:szCs w:val="24"/>
              </w:rPr>
              <w:t>Постановлени</w:t>
            </w:r>
            <w:r>
              <w:rPr>
                <w:sz w:val="24"/>
                <w:szCs w:val="24"/>
              </w:rPr>
              <w:t>я УТР №66/6 от 25.12.14г.</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D02F54">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7D21B0" w:rsidRPr="00F50EA2" w:rsidRDefault="00D02F54" w:rsidP="00433BD0">
            <w:pPr>
              <w:rPr>
                <w:sz w:val="24"/>
                <w:szCs w:val="24"/>
              </w:rPr>
            </w:pPr>
            <w:r>
              <w:rPr>
                <w:sz w:val="24"/>
                <w:szCs w:val="24"/>
              </w:rPr>
              <w:t>300</w:t>
            </w:r>
            <w:r w:rsidR="00433BD0">
              <w:rPr>
                <w:sz w:val="24"/>
                <w:szCs w:val="24"/>
              </w:rPr>
              <w:t>000</w:t>
            </w:r>
          </w:p>
        </w:tc>
      </w:tr>
      <w:tr w:rsidR="007D21B0" w:rsidTr="008E69DE">
        <w:tc>
          <w:tcPr>
            <w:tcW w:w="8755" w:type="dxa"/>
          </w:tcPr>
          <w:p w:rsidR="007D21B0" w:rsidRPr="00540BFB" w:rsidRDefault="00F4132F" w:rsidP="00D02F54">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7D21B0" w:rsidRPr="00F50EA2" w:rsidRDefault="00433BD0" w:rsidP="00D02F54">
            <w:pPr>
              <w:rPr>
                <w:sz w:val="24"/>
                <w:szCs w:val="24"/>
              </w:rPr>
            </w:pPr>
            <w:r>
              <w:rPr>
                <w:sz w:val="24"/>
                <w:szCs w:val="24"/>
              </w:rPr>
              <w:t>3</w:t>
            </w:r>
            <w:r w:rsidR="00D02F54">
              <w:rPr>
                <w:sz w:val="24"/>
                <w:szCs w:val="24"/>
              </w:rPr>
              <w:t>1</w:t>
            </w:r>
            <w:r>
              <w:rPr>
                <w:sz w:val="24"/>
                <w:szCs w:val="24"/>
              </w:rPr>
              <w:t>0000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D02F54">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5C2651"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187547" w:rsidRDefault="00F4132F" w:rsidP="00D02F54">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D02F54">
              <w:rPr>
                <w:rFonts w:eastAsia="Times New Roman"/>
                <w:color w:val="333333"/>
                <w:sz w:val="24"/>
                <w:szCs w:val="24"/>
                <w:lang w:eastAsia="ru-RU"/>
              </w:rPr>
              <w:t>4</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F4132F" w:rsidTr="008E69DE">
        <w:tc>
          <w:tcPr>
            <w:tcW w:w="8755" w:type="dxa"/>
          </w:tcPr>
          <w:p w:rsidR="00F4132F" w:rsidRPr="00540BFB" w:rsidRDefault="00F4132F"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кВтч</w:t>
            </w:r>
          </w:p>
        </w:tc>
        <w:tc>
          <w:tcPr>
            <w:tcW w:w="1808" w:type="dxa"/>
          </w:tcPr>
          <w:p w:rsidR="00F4132F"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540BFB" w:rsidRDefault="00F4132F"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D02F54">
              <w:rPr>
                <w:rFonts w:eastAsia="Times New Roman"/>
                <w:color w:val="333333"/>
                <w:sz w:val="24"/>
                <w:szCs w:val="24"/>
                <w:lang w:eastAsia="ru-RU"/>
              </w:rPr>
              <w:t>5</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lastRenderedPageBreak/>
              <w:t>Приложение</w:t>
            </w:r>
            <w:r w:rsidR="00BD4A14">
              <w:rPr>
                <w:sz w:val="24"/>
                <w:szCs w:val="24"/>
              </w:rPr>
              <w:t xml:space="preserve"> </w:t>
            </w:r>
            <w:r w:rsidR="00BD4A14">
              <w:rPr>
                <w:sz w:val="24"/>
                <w:szCs w:val="24"/>
              </w:rPr>
              <w:lastRenderedPageBreak/>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Приложение 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Приложение 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206F6C">
            <w:pPr>
              <w:rPr>
                <w:sz w:val="24"/>
                <w:szCs w:val="24"/>
              </w:rPr>
            </w:pPr>
            <w:r>
              <w:rPr>
                <w:sz w:val="24"/>
                <w:szCs w:val="24"/>
              </w:rPr>
              <w:t>30</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B03271">
            <w:pPr>
              <w:rPr>
                <w:sz w:val="24"/>
                <w:szCs w:val="24"/>
              </w:rPr>
            </w:pPr>
            <w:r>
              <w:rPr>
                <w:sz w:val="24"/>
                <w:szCs w:val="24"/>
              </w:rPr>
              <w:t>Приложение 15</w:t>
            </w:r>
          </w:p>
        </w:tc>
      </w:tr>
      <w:tr w:rsidR="004D735A" w:rsidTr="008E69DE">
        <w:tc>
          <w:tcPr>
            <w:tcW w:w="8755" w:type="dxa"/>
          </w:tcPr>
          <w:p w:rsidR="004D735A" w:rsidRDefault="004D735A" w:rsidP="005E1433">
            <w:pPr>
              <w:shd w:val="clear" w:color="auto" w:fill="FFFFFF"/>
              <w:spacing w:before="120"/>
              <w:jc w:val="both"/>
              <w:rPr>
                <w:rFonts w:eastAsia="Times New Roman"/>
                <w:color w:val="333333"/>
                <w:sz w:val="24"/>
                <w:szCs w:val="24"/>
                <w:lang w:eastAsia="ru-RU"/>
              </w:rPr>
            </w:pPr>
            <w:proofErr w:type="gramStart"/>
            <w:r>
              <w:rPr>
                <w:rFonts w:eastAsia="Times New Roman"/>
                <w:color w:val="333333"/>
                <w:sz w:val="24"/>
                <w:szCs w:val="24"/>
                <w:lang w:eastAsia="ru-RU"/>
              </w:rPr>
              <w:t>е.1)</w:t>
            </w:r>
            <w:r w:rsidR="005E1433">
              <w:rPr>
                <w:rFonts w:eastAsia="Times New Roman"/>
                <w:color w:val="333333"/>
                <w:sz w:val="24"/>
                <w:szCs w:val="24"/>
                <w:lang w:eastAsia="ru-RU"/>
              </w:rPr>
              <w:t xml:space="preserve"> информация</w:t>
            </w:r>
            <w:r>
              <w:rPr>
                <w:rFonts w:eastAsia="Times New Roman"/>
                <w:color w:val="333333"/>
                <w:sz w:val="24"/>
                <w:szCs w:val="24"/>
                <w:lang w:eastAsia="ru-RU"/>
              </w:rPr>
              <w:t xml:space="preserve"> </w:t>
            </w:r>
            <w:r w:rsidRPr="00D51229">
              <w:rPr>
                <w:rFonts w:eastAsia="Times New Roman"/>
                <w:sz w:val="24"/>
                <w:szCs w:val="24"/>
                <w:lang w:eastAsia="ru-RU"/>
              </w:rPr>
              <w:t xml:space="preserve">о возможности подачи заявки на осуществление </w:t>
            </w:r>
            <w:r w:rsidRPr="00D51229">
              <w:rPr>
                <w:rFonts w:eastAsia="Times New Roman"/>
                <w:sz w:val="24"/>
                <w:szCs w:val="24"/>
                <w:lang w:eastAsia="ru-RU"/>
              </w:rPr>
              <w:lastRenderedPageBreak/>
              <w:t xml:space="preserve">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заявителей, указанных в </w:t>
            </w:r>
            <w:hyperlink r:id="rId5" w:anchor="block_4121" w:history="1">
              <w:r w:rsidRPr="00D51229">
                <w:rPr>
                  <w:rFonts w:eastAsia="Times New Roman"/>
                  <w:color w:val="0000FF"/>
                  <w:sz w:val="24"/>
                  <w:szCs w:val="24"/>
                  <w:u w:val="single"/>
                  <w:lang w:eastAsia="ru-RU"/>
                </w:rPr>
                <w:t>пунктах 12.1</w:t>
              </w:r>
            </w:hyperlink>
            <w:r w:rsidRPr="00D51229">
              <w:rPr>
                <w:rFonts w:eastAsia="Times New Roman"/>
                <w:sz w:val="24"/>
                <w:szCs w:val="24"/>
                <w:lang w:eastAsia="ru-RU"/>
              </w:rPr>
              <w:t xml:space="preserve">, </w:t>
            </w:r>
            <w:hyperlink r:id="rId6" w:anchor="block_4013" w:history="1">
              <w:r w:rsidRPr="00D51229">
                <w:rPr>
                  <w:rFonts w:eastAsia="Times New Roman"/>
                  <w:color w:val="0000FF"/>
                  <w:sz w:val="24"/>
                  <w:szCs w:val="24"/>
                  <w:u w:val="single"/>
                  <w:lang w:eastAsia="ru-RU"/>
                </w:rPr>
                <w:t>13</w:t>
              </w:r>
            </w:hyperlink>
            <w:r w:rsidRPr="00D51229">
              <w:rPr>
                <w:rFonts w:eastAsia="Times New Roman"/>
                <w:sz w:val="24"/>
                <w:szCs w:val="24"/>
                <w:lang w:eastAsia="ru-RU"/>
              </w:rPr>
              <w:t xml:space="preserve"> и </w:t>
            </w:r>
            <w:hyperlink r:id="rId7" w:anchor="block_4014" w:history="1">
              <w:r w:rsidRPr="00D51229">
                <w:rPr>
                  <w:rFonts w:eastAsia="Times New Roman"/>
                  <w:color w:val="0000FF"/>
                  <w:sz w:val="24"/>
                  <w:szCs w:val="24"/>
                  <w:u w:val="single"/>
                  <w:lang w:eastAsia="ru-RU"/>
                </w:rPr>
                <w:t>14</w:t>
              </w:r>
            </w:hyperlink>
            <w:r w:rsidRPr="00D51229">
              <w:rPr>
                <w:rFonts w:eastAsia="Times New Roman"/>
                <w:sz w:val="24"/>
                <w:szCs w:val="24"/>
                <w:lang w:eastAsia="ru-RU"/>
              </w:rPr>
              <w:t xml:space="preserve"> Правил 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8" w:history="1">
              <w:r w:rsidRPr="00D51229">
                <w:rPr>
                  <w:rFonts w:eastAsia="Times New Roman"/>
                  <w:color w:val="0000FF"/>
                  <w:sz w:val="24"/>
                  <w:szCs w:val="24"/>
                  <w:u w:val="single"/>
                  <w:lang w:eastAsia="ru-RU"/>
                </w:rPr>
                <w:t>постановлением</w:t>
              </w:r>
            </w:hyperlink>
            <w:r w:rsidRPr="00D51229">
              <w:rPr>
                <w:rFonts w:eastAsia="Times New Roman"/>
                <w:sz w:val="24"/>
                <w:szCs w:val="24"/>
                <w:lang w:eastAsia="ru-RU"/>
              </w:rPr>
              <w:t xml:space="preserve"> Правительства Российской Федерации от 27 декабря 2004 г. N 861</w:t>
            </w:r>
            <w:proofErr w:type="gramEnd"/>
            <w:r w:rsidRPr="00D51229">
              <w:rPr>
                <w:rFonts w:eastAsia="Times New Roman"/>
                <w:sz w:val="24"/>
                <w:szCs w:val="24"/>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w:t>
            </w:r>
            <w:r w:rsidR="005E1433">
              <w:rPr>
                <w:rFonts w:eastAsia="Times New Roman"/>
                <w:sz w:val="24"/>
                <w:szCs w:val="24"/>
                <w:lang w:eastAsia="ru-RU"/>
              </w:rPr>
              <w:t>ительств</w:t>
            </w:r>
            <w:r w:rsidRPr="00D51229">
              <w:rPr>
                <w:rFonts w:eastAsia="Times New Roman"/>
                <w:sz w:val="24"/>
                <w:szCs w:val="24"/>
                <w:lang w:eastAsia="ru-RU"/>
              </w:rPr>
              <w:t>ом РФ;</w:t>
            </w:r>
          </w:p>
        </w:tc>
        <w:tc>
          <w:tcPr>
            <w:tcW w:w="1808" w:type="dxa"/>
          </w:tcPr>
          <w:p w:rsidR="004D735A" w:rsidRPr="00F50EA2" w:rsidRDefault="00B03271">
            <w:pPr>
              <w:rPr>
                <w:sz w:val="24"/>
                <w:szCs w:val="24"/>
              </w:rPr>
            </w:pPr>
            <w:r>
              <w:rPr>
                <w:sz w:val="24"/>
                <w:szCs w:val="24"/>
              </w:rPr>
              <w:lastRenderedPageBreak/>
              <w:t>Приложение 15</w:t>
            </w:r>
          </w:p>
        </w:tc>
      </w:tr>
      <w:tr w:rsidR="004D735A" w:rsidTr="008E69DE">
        <w:tc>
          <w:tcPr>
            <w:tcW w:w="8755" w:type="dxa"/>
          </w:tcPr>
          <w:p w:rsidR="004D735A" w:rsidRDefault="004D735A" w:rsidP="005E1433">
            <w:pPr>
              <w:rPr>
                <w:rFonts w:eastAsia="Times New Roman"/>
                <w:color w:val="333333"/>
                <w:sz w:val="24"/>
                <w:szCs w:val="24"/>
                <w:lang w:eastAsia="ru-RU"/>
              </w:rPr>
            </w:pPr>
            <w:proofErr w:type="gramStart"/>
            <w:r>
              <w:rPr>
                <w:rFonts w:eastAsia="Times New Roman"/>
                <w:color w:val="333333"/>
                <w:sz w:val="24"/>
                <w:szCs w:val="24"/>
                <w:lang w:eastAsia="ru-RU"/>
              </w:rPr>
              <w:lastRenderedPageBreak/>
              <w:t xml:space="preserve">е.2)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w:t>
            </w:r>
            <w:proofErr w:type="gramEnd"/>
            <w:r w:rsidRPr="00D51229">
              <w:rPr>
                <w:rFonts w:eastAsia="Times New Roman"/>
                <w:sz w:val="24"/>
                <w:szCs w:val="24"/>
                <w:lang w:eastAsia="ru-RU"/>
              </w:rPr>
              <w:t xml:space="preserve">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tc>
        <w:tc>
          <w:tcPr>
            <w:tcW w:w="1808" w:type="dxa"/>
          </w:tcPr>
          <w:p w:rsidR="004D735A" w:rsidRPr="00F50EA2" w:rsidRDefault="00B03271">
            <w:pPr>
              <w:rPr>
                <w:sz w:val="24"/>
                <w:szCs w:val="24"/>
              </w:rPr>
            </w:pPr>
            <w:r>
              <w:rPr>
                <w:sz w:val="24"/>
                <w:szCs w:val="24"/>
              </w:rPr>
              <w:t>Приложение 15</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закупок товаров, необходимых для производства регулируемых услуг (включая использование конкурсов, аукционов), с указанием </w:t>
            </w:r>
            <w:r w:rsidRPr="00540BFB">
              <w:rPr>
                <w:rFonts w:eastAsia="Times New Roman"/>
                <w:color w:val="333333"/>
                <w:sz w:val="24"/>
                <w:szCs w:val="24"/>
                <w:lang w:eastAsia="ru-RU"/>
              </w:rPr>
              <w:lastRenderedPageBreak/>
              <w:t>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CD4907" w:rsidP="00CF4954">
            <w:pPr>
              <w:rPr>
                <w:sz w:val="32"/>
                <w:szCs w:val="32"/>
              </w:rPr>
            </w:pPr>
            <w:r w:rsidRPr="00D51229">
              <w:rPr>
                <w:rFonts w:eastAsia="Times New Roman"/>
                <w:sz w:val="24"/>
                <w:szCs w:val="24"/>
                <w:lang w:eastAsia="ru-RU"/>
              </w:rPr>
              <w:lastRenderedPageBreak/>
              <w:t xml:space="preserve">и) </w:t>
            </w:r>
            <w:r w:rsidR="00CF4954">
              <w:rPr>
                <w:rFonts w:eastAsia="Times New Roman"/>
                <w:sz w:val="24"/>
                <w:szCs w:val="24"/>
                <w:lang w:eastAsia="ru-RU"/>
              </w:rPr>
              <w:t xml:space="preserve">информация </w:t>
            </w:r>
            <w:r w:rsidRPr="00D51229">
              <w:rPr>
                <w:rFonts w:eastAsia="Times New Roman"/>
                <w:sz w:val="24"/>
                <w:szCs w:val="24"/>
                <w:lang w:eastAsia="ru-RU"/>
              </w:rPr>
              <w:t xml:space="preserve">о паспортах услуг (процессов) согласно </w:t>
            </w:r>
            <w:hyperlink r:id="rId9" w:anchor="block_1000" w:history="1">
              <w:r w:rsidRPr="00CF4954">
                <w:rPr>
                  <w:rFonts w:eastAsia="Times New Roman"/>
                  <w:sz w:val="24"/>
                  <w:szCs w:val="24"/>
                  <w:lang w:eastAsia="ru-RU"/>
                </w:rPr>
                <w:t>единым стандартам</w:t>
              </w:r>
            </w:hyperlink>
            <w:r w:rsidRPr="00CF4954">
              <w:rPr>
                <w:rFonts w:eastAsia="Times New Roman"/>
                <w:sz w:val="24"/>
                <w:szCs w:val="24"/>
                <w:lang w:eastAsia="ru-RU"/>
              </w:rPr>
              <w:t xml:space="preserve"> </w:t>
            </w:r>
            <w:r w:rsidRPr="00D51229">
              <w:rPr>
                <w:rFonts w:eastAsia="Times New Roman"/>
                <w:sz w:val="24"/>
                <w:szCs w:val="24"/>
                <w:lang w:eastAsia="ru-RU"/>
              </w:rPr>
              <w:t xml:space="preserve">качества обслуживания сетевыми организациями потребителей услуг сетевых организаций. </w:t>
            </w:r>
          </w:p>
        </w:tc>
        <w:tc>
          <w:tcPr>
            <w:tcW w:w="1808" w:type="dxa"/>
          </w:tcPr>
          <w:p w:rsidR="00EC2F3E" w:rsidRPr="00F50EA2" w:rsidRDefault="00CF4954">
            <w:pPr>
              <w:rPr>
                <w:sz w:val="24"/>
                <w:szCs w:val="24"/>
              </w:rPr>
            </w:pPr>
            <w:r>
              <w:rPr>
                <w:sz w:val="24"/>
                <w:szCs w:val="24"/>
              </w:rPr>
              <w:t>Приложение 15</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к)</w:t>
            </w:r>
            <w:r w:rsidR="005E1433">
              <w:rPr>
                <w:rFonts w:eastAsia="Times New Roman"/>
                <w:color w:val="333333"/>
                <w:sz w:val="24"/>
                <w:szCs w:val="24"/>
                <w:lang w:eastAsia="ru-RU"/>
              </w:rPr>
              <w:t xml:space="preserve"> информация</w:t>
            </w:r>
            <w:r w:rsidRPr="00D51229">
              <w:rPr>
                <w:rFonts w:eastAsia="Times New Roman"/>
                <w:sz w:val="24"/>
                <w:szCs w:val="24"/>
                <w:lang w:eastAsia="ru-RU"/>
              </w:rPr>
              <w:t xml:space="preserve"> о лицах, намеревающихся перераспределить максимальную мощность принадлежащих им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в пользу иных лиц</w:t>
            </w:r>
            <w:r w:rsidR="005E1433">
              <w:rPr>
                <w:rFonts w:eastAsia="Times New Roman"/>
                <w:sz w:val="24"/>
                <w:szCs w:val="24"/>
                <w:lang w:eastAsia="ru-RU"/>
              </w:rPr>
              <w:t>.</w:t>
            </w:r>
            <w:r w:rsidRPr="00D51229">
              <w:rPr>
                <w:rFonts w:eastAsia="Times New Roman"/>
                <w:sz w:val="24"/>
                <w:szCs w:val="24"/>
                <w:lang w:eastAsia="ru-RU"/>
              </w:rPr>
              <w:t xml:space="preserve"> </w:t>
            </w:r>
          </w:p>
        </w:tc>
        <w:tc>
          <w:tcPr>
            <w:tcW w:w="1808" w:type="dxa"/>
          </w:tcPr>
          <w:p w:rsidR="004D735A" w:rsidRPr="00F50EA2" w:rsidRDefault="005E1433">
            <w:pPr>
              <w:rPr>
                <w:sz w:val="24"/>
                <w:szCs w:val="24"/>
              </w:rPr>
            </w:pPr>
            <w:r>
              <w:rPr>
                <w:sz w:val="24"/>
                <w:szCs w:val="24"/>
              </w:rPr>
              <w:t>нет</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л)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 качестве обслуживания потребителей услуг сетевой организации - по форме, утверждаемой уполномоченным Правительством РФ федеральным органом исполнительной власти;</w:t>
            </w:r>
          </w:p>
        </w:tc>
        <w:tc>
          <w:tcPr>
            <w:tcW w:w="1808" w:type="dxa"/>
          </w:tcPr>
          <w:p w:rsidR="004D735A" w:rsidRPr="00F50EA2" w:rsidRDefault="009E5DE4">
            <w:pPr>
              <w:rPr>
                <w:sz w:val="24"/>
                <w:szCs w:val="24"/>
              </w:rPr>
            </w:pPr>
            <w:r>
              <w:rPr>
                <w:sz w:val="24"/>
                <w:szCs w:val="24"/>
              </w:rPr>
              <w:t>Приложение 16</w:t>
            </w:r>
          </w:p>
        </w:tc>
      </w:tr>
      <w:tr w:rsidR="004D735A" w:rsidTr="008E69DE">
        <w:tc>
          <w:tcPr>
            <w:tcW w:w="8755" w:type="dxa"/>
          </w:tcPr>
          <w:p w:rsidR="004D735A" w:rsidRDefault="00CD4907" w:rsidP="009E5DE4">
            <w:pPr>
              <w:rPr>
                <w:sz w:val="32"/>
                <w:szCs w:val="32"/>
              </w:rPr>
            </w:pPr>
            <w:r w:rsidRPr="00D51229">
              <w:rPr>
                <w:rFonts w:eastAsia="Times New Roman"/>
                <w:sz w:val="24"/>
                <w:szCs w:val="24"/>
                <w:lang w:eastAsia="ru-RU"/>
              </w:rPr>
              <w:t>м)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объеме и стоимости электрической энергии (мощности) за расчетный период, приобретенной по договору купли-продажи (поставки) электрической энергии (мощности) в целях компенсации потерь электрической энергии</w:t>
            </w:r>
            <w:r w:rsidR="009E5DE4">
              <w:rPr>
                <w:rFonts w:eastAsia="Times New Roman"/>
                <w:sz w:val="24"/>
                <w:szCs w:val="24"/>
                <w:lang w:eastAsia="ru-RU"/>
              </w:rPr>
              <w:t xml:space="preserve"> № 5 от 01.03.13г</w:t>
            </w:r>
            <w:r w:rsidRPr="00D51229">
              <w:rPr>
                <w:rFonts w:eastAsia="Times New Roman"/>
                <w:sz w:val="24"/>
                <w:szCs w:val="24"/>
                <w:lang w:eastAsia="ru-RU"/>
              </w:rPr>
              <w:t xml:space="preserve">, заключенному с </w:t>
            </w:r>
            <w:r w:rsidR="009E5DE4">
              <w:rPr>
                <w:rFonts w:eastAsia="Times New Roman"/>
                <w:sz w:val="24"/>
                <w:szCs w:val="24"/>
                <w:lang w:eastAsia="ru-RU"/>
              </w:rPr>
              <w:t xml:space="preserve">ОАО «МРСК </w:t>
            </w:r>
            <w:proofErr w:type="spellStart"/>
            <w:r w:rsidR="009E5DE4">
              <w:rPr>
                <w:rFonts w:eastAsia="Times New Roman"/>
                <w:sz w:val="24"/>
                <w:szCs w:val="24"/>
                <w:lang w:eastAsia="ru-RU"/>
              </w:rPr>
              <w:t>Северо-Запада</w:t>
            </w:r>
            <w:proofErr w:type="spellEnd"/>
            <w:r w:rsidR="009E5DE4">
              <w:rPr>
                <w:rFonts w:eastAsia="Times New Roman"/>
                <w:sz w:val="24"/>
                <w:szCs w:val="24"/>
                <w:lang w:eastAsia="ru-RU"/>
              </w:rPr>
              <w:t>»</w:t>
            </w:r>
          </w:p>
        </w:tc>
        <w:tc>
          <w:tcPr>
            <w:tcW w:w="1808" w:type="dxa"/>
          </w:tcPr>
          <w:p w:rsidR="004D735A" w:rsidRPr="00F50EA2" w:rsidRDefault="00D02F54">
            <w:pPr>
              <w:rPr>
                <w:sz w:val="24"/>
                <w:szCs w:val="24"/>
              </w:rPr>
            </w:pPr>
            <w:r>
              <w:rPr>
                <w:sz w:val="24"/>
                <w:szCs w:val="24"/>
              </w:rPr>
              <w:t>445763,88</w:t>
            </w:r>
            <w:r w:rsidR="009E5DE4">
              <w:rPr>
                <w:sz w:val="24"/>
                <w:szCs w:val="24"/>
              </w:rPr>
              <w:t xml:space="preserve"> руб.</w:t>
            </w: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совокупных объемах генерирующих мощностей, используемых при </w:t>
            </w:r>
            <w:r w:rsidRPr="00540BFB">
              <w:rPr>
                <w:rFonts w:eastAsia="Times New Roman"/>
                <w:color w:val="333333"/>
                <w:sz w:val="24"/>
                <w:szCs w:val="24"/>
                <w:lang w:eastAsia="ru-RU"/>
              </w:rPr>
              <w:lastRenderedPageBreak/>
              <w:t>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lastRenderedPageBreak/>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 xml:space="preserve">решения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lastRenderedPageBreak/>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 xml:space="preserve">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w:t>
            </w:r>
            <w:r w:rsidRPr="00540BFB">
              <w:rPr>
                <w:rFonts w:eastAsia="Times New Roman"/>
                <w:color w:val="333333"/>
                <w:sz w:val="24"/>
                <w:szCs w:val="24"/>
                <w:lang w:eastAsia="ru-RU"/>
              </w:rPr>
              <w:lastRenderedPageBreak/>
              <w:t>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lastRenderedPageBreak/>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lastRenderedPageBreak/>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D02F54">
              <w:rPr>
                <w:rFonts w:eastAsia="Times New Roman"/>
                <w:color w:val="333333"/>
                <w:sz w:val="24"/>
                <w:szCs w:val="24"/>
                <w:lang w:eastAsia="ru-RU"/>
              </w:rPr>
              <w:t>5</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253D68" w:rsidTr="008E69DE">
        <w:tc>
          <w:tcPr>
            <w:tcW w:w="8755" w:type="dxa"/>
          </w:tcPr>
          <w:p w:rsidR="00253D68" w:rsidRDefault="002D1491" w:rsidP="00D02F5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D02F54">
              <w:rPr>
                <w:rFonts w:eastAsia="Times New Roman"/>
                <w:color w:val="333333"/>
                <w:sz w:val="24"/>
                <w:szCs w:val="24"/>
                <w:lang w:eastAsia="ru-RU"/>
              </w:rPr>
              <w:t>6</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 xml:space="preserve">размер регулируемой сбытовой надбавки с указанием решения </w:t>
            </w:r>
            <w:r w:rsidRPr="00540BFB">
              <w:rPr>
                <w:rFonts w:eastAsia="Times New Roman"/>
                <w:color w:val="333333"/>
                <w:sz w:val="24"/>
                <w:szCs w:val="24"/>
                <w:lang w:eastAsia="ru-RU"/>
              </w:rPr>
              <w:lastRenderedPageBreak/>
              <w:t>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lastRenderedPageBreak/>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74"/>
    <w:rsid w:val="000946AD"/>
    <w:rsid w:val="000A601F"/>
    <w:rsid w:val="000D441D"/>
    <w:rsid w:val="000F7F98"/>
    <w:rsid w:val="00105194"/>
    <w:rsid w:val="00111EEE"/>
    <w:rsid w:val="00122EF4"/>
    <w:rsid w:val="00127FB0"/>
    <w:rsid w:val="001974C2"/>
    <w:rsid w:val="001D5CC3"/>
    <w:rsid w:val="00206F6C"/>
    <w:rsid w:val="0022155A"/>
    <w:rsid w:val="002339E7"/>
    <w:rsid w:val="00253D68"/>
    <w:rsid w:val="002772B3"/>
    <w:rsid w:val="00287CD9"/>
    <w:rsid w:val="002B1F8B"/>
    <w:rsid w:val="002D1491"/>
    <w:rsid w:val="002D740D"/>
    <w:rsid w:val="002E6853"/>
    <w:rsid w:val="003029A1"/>
    <w:rsid w:val="00304DC1"/>
    <w:rsid w:val="00361E23"/>
    <w:rsid w:val="00392351"/>
    <w:rsid w:val="003F0233"/>
    <w:rsid w:val="004104C3"/>
    <w:rsid w:val="00433BD0"/>
    <w:rsid w:val="00444BDF"/>
    <w:rsid w:val="004A42C6"/>
    <w:rsid w:val="004B2606"/>
    <w:rsid w:val="004D735A"/>
    <w:rsid w:val="00513174"/>
    <w:rsid w:val="00540BFB"/>
    <w:rsid w:val="0059002F"/>
    <w:rsid w:val="005B04DF"/>
    <w:rsid w:val="005C2651"/>
    <w:rsid w:val="005E1433"/>
    <w:rsid w:val="00690C2F"/>
    <w:rsid w:val="006B097B"/>
    <w:rsid w:val="006E5B7E"/>
    <w:rsid w:val="007151D8"/>
    <w:rsid w:val="00720C42"/>
    <w:rsid w:val="00731893"/>
    <w:rsid w:val="007336C1"/>
    <w:rsid w:val="00747013"/>
    <w:rsid w:val="00747919"/>
    <w:rsid w:val="00753AFB"/>
    <w:rsid w:val="007567C8"/>
    <w:rsid w:val="0078744B"/>
    <w:rsid w:val="007C32B2"/>
    <w:rsid w:val="007D21B0"/>
    <w:rsid w:val="00840321"/>
    <w:rsid w:val="00887684"/>
    <w:rsid w:val="00895CBE"/>
    <w:rsid w:val="008E69DE"/>
    <w:rsid w:val="009270E6"/>
    <w:rsid w:val="009374E2"/>
    <w:rsid w:val="00975D57"/>
    <w:rsid w:val="00992BD5"/>
    <w:rsid w:val="009D54BC"/>
    <w:rsid w:val="009E5DE4"/>
    <w:rsid w:val="009F0FC5"/>
    <w:rsid w:val="009F75C9"/>
    <w:rsid w:val="00A01888"/>
    <w:rsid w:val="00A224B2"/>
    <w:rsid w:val="00A275E7"/>
    <w:rsid w:val="00A35121"/>
    <w:rsid w:val="00A36D8B"/>
    <w:rsid w:val="00A37860"/>
    <w:rsid w:val="00A665B3"/>
    <w:rsid w:val="00AC37FD"/>
    <w:rsid w:val="00AF621F"/>
    <w:rsid w:val="00B03271"/>
    <w:rsid w:val="00B063D7"/>
    <w:rsid w:val="00B24E19"/>
    <w:rsid w:val="00B72286"/>
    <w:rsid w:val="00B8633A"/>
    <w:rsid w:val="00B9045C"/>
    <w:rsid w:val="00BD4A14"/>
    <w:rsid w:val="00BE0D38"/>
    <w:rsid w:val="00C26C77"/>
    <w:rsid w:val="00C449CF"/>
    <w:rsid w:val="00C502A0"/>
    <w:rsid w:val="00C55966"/>
    <w:rsid w:val="00C72F0B"/>
    <w:rsid w:val="00CD4907"/>
    <w:rsid w:val="00CF4954"/>
    <w:rsid w:val="00CF6594"/>
    <w:rsid w:val="00D02F54"/>
    <w:rsid w:val="00D91043"/>
    <w:rsid w:val="00DC3CD4"/>
    <w:rsid w:val="00DD57C5"/>
    <w:rsid w:val="00E3348E"/>
    <w:rsid w:val="00E417B9"/>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7740/" TargetMode="External"/><Relationship Id="rId3" Type="http://schemas.openxmlformats.org/officeDocument/2006/relationships/settings" Target="settings.xml"/><Relationship Id="rId7" Type="http://schemas.openxmlformats.org/officeDocument/2006/relationships/hyperlink" Target="http://base.garant.ru/187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87740/" TargetMode="External"/><Relationship Id="rId11" Type="http://schemas.openxmlformats.org/officeDocument/2006/relationships/theme" Target="theme/theme1.xml"/><Relationship Id="rId5" Type="http://schemas.openxmlformats.org/officeDocument/2006/relationships/hyperlink" Target="http://base.garant.ru/187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68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13FD-7168-4868-9D67-624C4651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57</cp:revision>
  <dcterms:created xsi:type="dcterms:W3CDTF">2012-02-13T12:30:00Z</dcterms:created>
  <dcterms:modified xsi:type="dcterms:W3CDTF">2016-02-16T12:29:00Z</dcterms:modified>
</cp:coreProperties>
</file>