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6"/>
              </w:rPr>
              <w:t xml:space="preserve">Постановление Правительства Мурманской области от 28.07.2020 N 539-ПП</w:t>
              <w:br/>
              <w:t xml:space="preserve">(ред. от 26.03.2026)</w:t>
              <w:br/>
              <w:t xml:space="preserve">"О формировании рейтинга органов местного самоуправления муниципальных образований Мурманской области в части деятельности по содействию развитию конкуренции и обеспечению условий для благоприятного инвестиционного климата"</w:t>
              <w:br/>
              <w:t xml:space="preserve">(вместе с "Методикой формирования рейтинга органов местного самоуправления муниципальных образований Мурманской области в части деятельности по содействию развитию конкуренции и обеспечению условий для благоприятного инвестиционного климата")</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31.08.2026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2"/>
        <w:outlineLvl w:val="0"/>
        <w:jc w:val="center"/>
      </w:pPr>
      <w:r>
        <w:rPr>
          <w:sz w:val="24"/>
        </w:rPr>
        <w:t xml:space="preserve">ПРАВИТЕЛЬСТВО МУРМАНСКОЙ ОБЛАСТИ</w:t>
      </w:r>
    </w:p>
    <w:p>
      <w:pPr>
        <w:pStyle w:val="2"/>
        <w:jc w:val="center"/>
      </w:pPr>
      <w:r>
        <w:rPr>
          <w:sz w:val="24"/>
        </w:rPr>
      </w:r>
    </w:p>
    <w:p>
      <w:pPr>
        <w:pStyle w:val="2"/>
        <w:jc w:val="center"/>
      </w:pPr>
      <w:r>
        <w:rPr>
          <w:sz w:val="24"/>
        </w:rPr>
        <w:t xml:space="preserve">ПОСТАНОВЛЕНИЕ</w:t>
      </w:r>
    </w:p>
    <w:p>
      <w:pPr>
        <w:pStyle w:val="2"/>
        <w:jc w:val="center"/>
      </w:pPr>
      <w:r>
        <w:rPr>
          <w:sz w:val="24"/>
        </w:rPr>
        <w:t xml:space="preserve">от 28 июля 2020 г. N 539-ПП</w:t>
      </w:r>
    </w:p>
    <w:p>
      <w:pPr>
        <w:pStyle w:val="2"/>
        <w:jc w:val="center"/>
      </w:pPr>
      <w:r>
        <w:rPr>
          <w:sz w:val="24"/>
        </w:rPr>
      </w:r>
    </w:p>
    <w:p>
      <w:pPr>
        <w:pStyle w:val="2"/>
        <w:jc w:val="center"/>
      </w:pPr>
      <w:r>
        <w:rPr>
          <w:sz w:val="24"/>
        </w:rPr>
        <w:t xml:space="preserve">О ФОРМИРОВАНИИ РЕЙТИНГА ОРГАНОВ МЕСТНОГО САМОУПРАВЛЕНИЯ</w:t>
      </w:r>
    </w:p>
    <w:p>
      <w:pPr>
        <w:pStyle w:val="2"/>
        <w:jc w:val="center"/>
      </w:pPr>
      <w:r>
        <w:rPr>
          <w:sz w:val="24"/>
        </w:rPr>
        <w:t xml:space="preserve">МУНИЦИПАЛЬНЫХ ОБРАЗОВАНИЙ МУРМАНСКОЙ ОБЛАСТИ В ЧАСТИ</w:t>
      </w:r>
    </w:p>
    <w:p>
      <w:pPr>
        <w:pStyle w:val="2"/>
        <w:jc w:val="center"/>
      </w:pPr>
      <w:r>
        <w:rPr>
          <w:sz w:val="24"/>
        </w:rPr>
        <w:t xml:space="preserve">ДЕЯТЕЛЬНОСТИ ПО СОДЕЙСТВИЮ РАЗВИТИЮ КОНКУРЕНЦИИ</w:t>
      </w:r>
    </w:p>
    <w:p>
      <w:pPr>
        <w:pStyle w:val="2"/>
        <w:jc w:val="center"/>
      </w:pPr>
      <w:r>
        <w:rPr>
          <w:sz w:val="24"/>
        </w:rPr>
        <w:t xml:space="preserve">И ОБЕСПЕЧЕНИЮ УСЛОВИЙ ДЛЯ БЛАГОПРИЯТНОГО ИНВЕСТИЦИОННОГО</w:t>
      </w:r>
    </w:p>
    <w:p>
      <w:pPr>
        <w:pStyle w:val="2"/>
        <w:jc w:val="center"/>
      </w:pPr>
      <w:r>
        <w:rPr>
          <w:sz w:val="24"/>
        </w:rPr>
        <w:t xml:space="preserve">КЛИМАТА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Мурманской области</w:t>
            </w:r>
          </w:p>
          <w:p>
            <w:pPr>
              <w:pStyle w:val="0"/>
              <w:jc w:val="center"/>
            </w:pPr>
            <w:r>
              <w:rPr>
                <w:sz w:val="24"/>
                <w:color w:val="392c69"/>
              </w:rPr>
              <w:t xml:space="preserve">от 17.01.2022 </w:t>
            </w:r>
            <w:hyperlink w:history="0" r:id="rId8" w:tooltip="Постановление Правительства Мурманской области от 17.01.2022 N 22-ПП &quot;О внесении изменений в методику формирования рейтинга органов местного самоуправления муниципальных образований Мурманской области в части деятельности по содействию развитию конкуренции и обеспечению условий для благоприятного инвестиционного климата&quot; (вместе с &quot;Показателями оценки деятельности органов местного самоуправления муниципальных образований Мурманской области по содействию развитию конкуренции и обеспечению условий для благопр {КонсультантПлюс}">
              <w:r>
                <w:rPr>
                  <w:sz w:val="24"/>
                  <w:color w:val="0000ff"/>
                </w:rPr>
                <w:t xml:space="preserve">N 22-ПП</w:t>
              </w:r>
            </w:hyperlink>
            <w:r>
              <w:rPr>
                <w:sz w:val="24"/>
                <w:color w:val="392c69"/>
              </w:rPr>
              <w:t xml:space="preserve">, от 11.11.2024 </w:t>
            </w:r>
            <w:hyperlink w:history="0" r:id="rId9" w:tooltip="Постановление Правительства Мурманской области от 11.11.2024 N 777-ПП &quot;О внесении изменений в методику формирования рейтинга органов местного самоуправления муниципальных образований Мурманской области в части деятельности по содействию развитию конкуренции и обеспечению условий для благоприятного инвестиционного климата&quot; (вместе с &quot;Показателями оценки деятельности органов местного самоуправления муниципальных образований Мурманской области по содействию развитию конкуренции и обеспечению условий для благоп {КонсультантПлюс}">
              <w:r>
                <w:rPr>
                  <w:sz w:val="24"/>
                  <w:color w:val="0000ff"/>
                </w:rPr>
                <w:t xml:space="preserve">N 777-ПП</w:t>
              </w:r>
            </w:hyperlink>
            <w:r>
              <w:rPr>
                <w:sz w:val="24"/>
                <w:color w:val="392c69"/>
              </w:rPr>
              <w:t xml:space="preserve">, от 26.03.2026 </w:t>
            </w:r>
            <w:hyperlink w:history="0" r:id="rId10" w:tooltip="Постановление Правительства Мурманской области от 26.03.2026 N 151-ПП &quot;О внесении изменений в некоторые постановления Правительства Мурманской области&quot; {КонсультантПлюс}">
              <w:r>
                <w:rPr>
                  <w:sz w:val="24"/>
                  <w:color w:val="0000ff"/>
                </w:rPr>
                <w:t xml:space="preserve">N 151-ПП</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В соответствии с </w:t>
      </w:r>
      <w:hyperlink w:history="0" r:id="rId11" w:tooltip="Распоряжение Правительства РФ от 17.04.2019 N 768-р (ред. от 07.02.2026) &lt;Об утверждении стандарта развития конкуренции в субъектах Российской Федерации&gt; {КонсультантПлюс}">
        <w:r>
          <w:rPr>
            <w:sz w:val="24"/>
            <w:color w:val="0000ff"/>
          </w:rPr>
          <w:t xml:space="preserve">подпунктом "е" пункта 10 раздела II</w:t>
        </w:r>
      </w:hyperlink>
      <w:r>
        <w:rPr>
          <w:sz w:val="24"/>
        </w:rPr>
        <w:t xml:space="preserve"> стандарта развития конкуренции в субъектах Российской Федерации, утвержденного распоряжением Правительства Российской Федерации от 17.04.2019 N 768-Р, Правительство Мурманской области постановляет:</w:t>
      </w:r>
    </w:p>
    <w:p>
      <w:pPr>
        <w:pStyle w:val="0"/>
        <w:spacing w:before="240" w:lineRule="auto"/>
        <w:ind w:firstLine="540"/>
        <w:jc w:val="both"/>
      </w:pPr>
      <w:r>
        <w:rPr>
          <w:sz w:val="24"/>
        </w:rPr>
        <w:t xml:space="preserve">1. Утвердить прилагаемую </w:t>
      </w:r>
      <w:hyperlink w:history="0" w:anchor="P37" w:tooltip="МЕТОДИКА">
        <w:r>
          <w:rPr>
            <w:sz w:val="24"/>
            <w:color w:val="0000ff"/>
          </w:rPr>
          <w:t xml:space="preserve">методику</w:t>
        </w:r>
      </w:hyperlink>
      <w:r>
        <w:rPr>
          <w:sz w:val="24"/>
        </w:rPr>
        <w:t xml:space="preserve"> формирования рейтинга органов местного самоуправления муниципальных образований Мурманской области в части деятельности по содействию развитию конкуренции и обеспечению условий для благоприятного инвестиционного климата (далее - Методика).</w:t>
      </w:r>
    </w:p>
    <w:p>
      <w:pPr>
        <w:pStyle w:val="0"/>
        <w:spacing w:before="240" w:lineRule="auto"/>
        <w:ind w:firstLine="540"/>
        <w:jc w:val="both"/>
      </w:pPr>
      <w:r>
        <w:rPr>
          <w:sz w:val="24"/>
        </w:rPr>
        <w:t xml:space="preserve">2. Комитету по конкурентной политике Мурманской области (Коптев А.С.) ежегодно обеспечить:</w:t>
      </w:r>
    </w:p>
    <w:p>
      <w:pPr>
        <w:pStyle w:val="0"/>
        <w:spacing w:before="240" w:lineRule="auto"/>
        <w:ind w:firstLine="540"/>
        <w:jc w:val="both"/>
      </w:pPr>
      <w:r>
        <w:rPr>
          <w:sz w:val="24"/>
        </w:rPr>
        <w:t xml:space="preserve">- формирование рейтинга в соответствии с Методикой в срок до 10 марта года, следующего за отчетным;</w:t>
      </w:r>
    </w:p>
    <w:p>
      <w:pPr>
        <w:pStyle w:val="0"/>
        <w:spacing w:before="240" w:lineRule="auto"/>
        <w:ind w:firstLine="540"/>
        <w:jc w:val="both"/>
      </w:pPr>
      <w:r>
        <w:rPr>
          <w:sz w:val="24"/>
        </w:rPr>
        <w:t xml:space="preserve">- организацию реализации системы поощрений для органов местного самоуправления муниципальных образований Мурманской области в срок до 31 декабря года, следующего за отчетным.</w:t>
      </w:r>
    </w:p>
    <w:p>
      <w:pPr>
        <w:pStyle w:val="0"/>
        <w:jc w:val="both"/>
      </w:pPr>
      <w:r>
        <w:rPr>
          <w:sz w:val="24"/>
        </w:rPr>
        <w:t xml:space="preserve">(п. 2 в ред. </w:t>
      </w:r>
      <w:hyperlink w:history="0" r:id="rId12" w:tooltip="Постановление Правительства Мурманской области от 26.03.2026 N 151-ПП &quot;О внесении изменений в некоторые постановления Правительства Мурманской области&quot; {КонсультантПлюс}">
        <w:r>
          <w:rPr>
            <w:sz w:val="24"/>
            <w:color w:val="0000ff"/>
          </w:rPr>
          <w:t xml:space="preserve">Постановления</w:t>
        </w:r>
      </w:hyperlink>
      <w:r>
        <w:rPr>
          <w:sz w:val="24"/>
        </w:rPr>
        <w:t xml:space="preserve"> Правительства Мурманской области от 26.03.2026 N 151-ПП)</w:t>
      </w:r>
    </w:p>
    <w:p>
      <w:pPr>
        <w:pStyle w:val="0"/>
        <w:spacing w:before="240" w:lineRule="auto"/>
        <w:ind w:firstLine="540"/>
        <w:jc w:val="both"/>
      </w:pPr>
      <w:r>
        <w:rPr>
          <w:sz w:val="24"/>
        </w:rPr>
        <w:t xml:space="preserve">3. Рекомендовать органам местного самоуправления муниципальных образований Мурманской области в срок до 1 февраля года, следующего за отчетным, направлять в Комитет по конкурентной политике Мурманской области информацию для формирования рейтинга в соответствии с </w:t>
      </w:r>
      <w:hyperlink w:history="0" w:anchor="P37" w:tooltip="МЕТОДИКА">
        <w:r>
          <w:rPr>
            <w:sz w:val="24"/>
            <w:color w:val="0000ff"/>
          </w:rPr>
          <w:t xml:space="preserve">Методикой</w:t>
        </w:r>
      </w:hyperlink>
      <w:r>
        <w:rPr>
          <w:sz w:val="24"/>
        </w:rPr>
        <w:t xml:space="preserve">.</w:t>
      </w:r>
    </w:p>
    <w:p>
      <w:pPr>
        <w:pStyle w:val="0"/>
        <w:spacing w:before="240" w:lineRule="auto"/>
        <w:ind w:firstLine="540"/>
        <w:jc w:val="both"/>
      </w:pPr>
      <w:r>
        <w:rPr>
          <w:sz w:val="24"/>
        </w:rPr>
        <w:t xml:space="preserve">4. Контроль за исполнением настоящего постановления возложить на первого заместителя Губернатора Мурманской области Демченко О.Н.</w:t>
      </w:r>
    </w:p>
    <w:p>
      <w:pPr>
        <w:pStyle w:val="0"/>
        <w:jc w:val="both"/>
      </w:pPr>
      <w:r>
        <w:rPr>
          <w:sz w:val="24"/>
        </w:rPr>
      </w:r>
    </w:p>
    <w:p>
      <w:pPr>
        <w:pStyle w:val="0"/>
        <w:jc w:val="right"/>
      </w:pPr>
      <w:r>
        <w:rPr>
          <w:sz w:val="24"/>
        </w:rPr>
        <w:t xml:space="preserve">Губернатор</w:t>
      </w:r>
    </w:p>
    <w:p>
      <w:pPr>
        <w:pStyle w:val="0"/>
        <w:jc w:val="right"/>
      </w:pPr>
      <w:r>
        <w:rPr>
          <w:sz w:val="24"/>
        </w:rPr>
        <w:t xml:space="preserve">Мурманской области</w:t>
      </w:r>
    </w:p>
    <w:p>
      <w:pPr>
        <w:pStyle w:val="0"/>
        <w:jc w:val="right"/>
      </w:pPr>
      <w:r>
        <w:rPr>
          <w:sz w:val="24"/>
        </w:rPr>
        <w:t xml:space="preserve">А.В.ЧИБИС</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Утверждена</w:t>
      </w:r>
    </w:p>
    <w:p>
      <w:pPr>
        <w:pStyle w:val="0"/>
        <w:jc w:val="right"/>
      </w:pPr>
      <w:r>
        <w:rPr>
          <w:sz w:val="24"/>
        </w:rPr>
        <w:t xml:space="preserve">постановлением</w:t>
      </w:r>
    </w:p>
    <w:p>
      <w:pPr>
        <w:pStyle w:val="0"/>
        <w:jc w:val="right"/>
      </w:pPr>
      <w:r>
        <w:rPr>
          <w:sz w:val="24"/>
        </w:rPr>
        <w:t xml:space="preserve">Правительства Мурманской области</w:t>
      </w:r>
    </w:p>
    <w:p>
      <w:pPr>
        <w:pStyle w:val="0"/>
        <w:jc w:val="right"/>
      </w:pPr>
      <w:r>
        <w:rPr>
          <w:sz w:val="24"/>
        </w:rPr>
        <w:t xml:space="preserve">от 28 июля 2020 г. N 539-ПП</w:t>
      </w:r>
    </w:p>
    <w:p>
      <w:pPr>
        <w:pStyle w:val="0"/>
        <w:jc w:val="both"/>
      </w:pPr>
      <w:r>
        <w:rPr>
          <w:sz w:val="24"/>
        </w:rPr>
      </w:r>
    </w:p>
    <w:bookmarkStart w:id="37" w:name="P37"/>
    <w:bookmarkEnd w:id="37"/>
    <w:p>
      <w:pPr>
        <w:pStyle w:val="2"/>
        <w:jc w:val="center"/>
      </w:pPr>
      <w:r>
        <w:rPr>
          <w:sz w:val="24"/>
        </w:rPr>
        <w:t xml:space="preserve">МЕТОДИКА</w:t>
      </w:r>
    </w:p>
    <w:p>
      <w:pPr>
        <w:pStyle w:val="2"/>
        <w:jc w:val="center"/>
      </w:pPr>
      <w:r>
        <w:rPr>
          <w:sz w:val="24"/>
        </w:rPr>
        <w:t xml:space="preserve">ФОРМИРОВАНИЯ РЕЙТИНГА ОРГАНОВ МЕСТНОГО САМОУПРАВЛЕНИЯ</w:t>
      </w:r>
    </w:p>
    <w:p>
      <w:pPr>
        <w:pStyle w:val="2"/>
        <w:jc w:val="center"/>
      </w:pPr>
      <w:r>
        <w:rPr>
          <w:sz w:val="24"/>
        </w:rPr>
        <w:t xml:space="preserve">МУНИЦИПАЛЬНЫХ ОБРАЗОВАНИЙ МУРМАНСКОЙ ОБЛАСТИ В ЧАСТИ</w:t>
      </w:r>
    </w:p>
    <w:p>
      <w:pPr>
        <w:pStyle w:val="2"/>
        <w:jc w:val="center"/>
      </w:pPr>
      <w:r>
        <w:rPr>
          <w:sz w:val="24"/>
        </w:rPr>
        <w:t xml:space="preserve">ДЕЯТЕЛЬНОСТИ ПО СОДЕЙСТВИЮ РАЗВИТИЮ КОНКУРЕНЦИИ</w:t>
      </w:r>
    </w:p>
    <w:p>
      <w:pPr>
        <w:pStyle w:val="2"/>
        <w:jc w:val="center"/>
      </w:pPr>
      <w:r>
        <w:rPr>
          <w:sz w:val="24"/>
        </w:rPr>
        <w:t xml:space="preserve">И ОБЕСПЕЧЕНИЮ УСЛОВИЙ ДЛЯ БЛАГОПРИЯТНОГО ИНВЕСТИЦИОННОГО</w:t>
      </w:r>
    </w:p>
    <w:p>
      <w:pPr>
        <w:pStyle w:val="2"/>
        <w:jc w:val="center"/>
      </w:pPr>
      <w:r>
        <w:rPr>
          <w:sz w:val="24"/>
        </w:rPr>
        <w:t xml:space="preserve">КЛИМАТА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Мурманской области</w:t>
            </w:r>
          </w:p>
          <w:p>
            <w:pPr>
              <w:pStyle w:val="0"/>
              <w:jc w:val="center"/>
            </w:pPr>
            <w:r>
              <w:rPr>
                <w:sz w:val="24"/>
                <w:color w:val="392c69"/>
              </w:rPr>
              <w:t xml:space="preserve">от 11.11.2024 </w:t>
            </w:r>
            <w:hyperlink w:history="0" r:id="rId13" w:tooltip="Постановление Правительства Мурманской области от 11.11.2024 N 777-ПП &quot;О внесении изменений в методику формирования рейтинга органов местного самоуправления муниципальных образований Мурманской области в части деятельности по содействию развитию конкуренции и обеспечению условий для благоприятного инвестиционного климата&quot; (вместе с &quot;Показателями оценки деятельности органов местного самоуправления муниципальных образований Мурманской области по содействию развитию конкуренции и обеспечению условий для благоп {КонсультантПлюс}">
              <w:r>
                <w:rPr>
                  <w:sz w:val="24"/>
                  <w:color w:val="0000ff"/>
                </w:rPr>
                <w:t xml:space="preserve">N 777-ПП</w:t>
              </w:r>
            </w:hyperlink>
            <w:r>
              <w:rPr>
                <w:sz w:val="24"/>
                <w:color w:val="392c69"/>
              </w:rPr>
              <w:t xml:space="preserve">, от 26.03.2026 </w:t>
            </w:r>
            <w:hyperlink w:history="0" r:id="rId14" w:tooltip="Постановление Правительства Мурманской области от 26.03.2026 N 151-ПП &quot;О внесении изменений в некоторые постановления Правительства Мурманской области&quot; {КонсультантПлюс}">
              <w:r>
                <w:rPr>
                  <w:sz w:val="24"/>
                  <w:color w:val="0000ff"/>
                </w:rPr>
                <w:t xml:space="preserve">N 151-ПП</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2"/>
        <w:outlineLvl w:val="1"/>
        <w:jc w:val="center"/>
      </w:pPr>
      <w:r>
        <w:rPr>
          <w:sz w:val="24"/>
        </w:rPr>
        <w:t xml:space="preserve">1. Общие положения</w:t>
      </w:r>
    </w:p>
    <w:p>
      <w:pPr>
        <w:pStyle w:val="0"/>
        <w:jc w:val="both"/>
      </w:pPr>
      <w:r>
        <w:rPr>
          <w:sz w:val="24"/>
        </w:rPr>
      </w:r>
    </w:p>
    <w:p>
      <w:pPr>
        <w:pStyle w:val="0"/>
        <w:ind w:firstLine="540"/>
        <w:jc w:val="both"/>
      </w:pPr>
      <w:r>
        <w:rPr>
          <w:sz w:val="24"/>
        </w:rPr>
        <w:t xml:space="preserve">Настоящая Методика формирования рейтинга органов местного самоуправления муниципальных образований Мурманской области в части деятельности по содействию развитию конкуренции и обеспечению условий для благоприятного инвестиционного климата (далее - Рейтинг) устанавливает порядок рейтингования муниципальных округов, городских округов Мурманской области в зависимости от эффективности реализуемых на территории муниципального образования мероприятий по содействию развитию конкуренции и обеспечению условий для благоприятного инвестиционного климата.</w:t>
      </w:r>
    </w:p>
    <w:p>
      <w:pPr>
        <w:pStyle w:val="0"/>
        <w:jc w:val="both"/>
      </w:pPr>
      <w:r>
        <w:rPr>
          <w:sz w:val="24"/>
        </w:rPr>
        <w:t xml:space="preserve">(в ред. </w:t>
      </w:r>
      <w:hyperlink w:history="0" r:id="rId15" w:tooltip="Постановление Правительства Мурманской области от 26.03.2026 N 151-ПП &quot;О внесении изменений в некоторые постановления Правительства Мурманской области&quot; {КонсультантПлюс}">
        <w:r>
          <w:rPr>
            <w:sz w:val="24"/>
            <w:color w:val="0000ff"/>
          </w:rPr>
          <w:t xml:space="preserve">Постановления</w:t>
        </w:r>
      </w:hyperlink>
      <w:r>
        <w:rPr>
          <w:sz w:val="24"/>
        </w:rPr>
        <w:t xml:space="preserve"> Правительства Мурманской области от 26.03.2026 N 151-ПП)</w:t>
      </w:r>
    </w:p>
    <w:p>
      <w:pPr>
        <w:pStyle w:val="0"/>
        <w:spacing w:before="240" w:lineRule="auto"/>
        <w:ind w:firstLine="540"/>
        <w:jc w:val="both"/>
      </w:pPr>
      <w:r>
        <w:rPr>
          <w:sz w:val="24"/>
        </w:rPr>
        <w:t xml:space="preserve">В связи со спецификой полномочий, осуществляемых органами местного самоуправления, Рейтинг формируется в зависимости от территориального деления муниципальных образований в разрезе муниципальных округов, городских округов, закрытых административно-территориальных образований Мурманской области.</w:t>
      </w:r>
    </w:p>
    <w:p>
      <w:pPr>
        <w:pStyle w:val="0"/>
        <w:jc w:val="both"/>
      </w:pPr>
      <w:r>
        <w:rPr>
          <w:sz w:val="24"/>
        </w:rPr>
        <w:t xml:space="preserve">(в ред. </w:t>
      </w:r>
      <w:hyperlink w:history="0" r:id="rId16" w:tooltip="Постановление Правительства Мурманской области от 26.03.2026 N 151-ПП &quot;О внесении изменений в некоторые постановления Правительства Мурманской области&quot; {КонсультантПлюс}">
        <w:r>
          <w:rPr>
            <w:sz w:val="24"/>
            <w:color w:val="0000ff"/>
          </w:rPr>
          <w:t xml:space="preserve">Постановления</w:t>
        </w:r>
      </w:hyperlink>
      <w:r>
        <w:rPr>
          <w:sz w:val="24"/>
        </w:rPr>
        <w:t xml:space="preserve"> Правительства Мурманской области от 26.03.2026 N 151-ПП)</w:t>
      </w:r>
    </w:p>
    <w:p>
      <w:pPr>
        <w:pStyle w:val="0"/>
        <w:spacing w:before="240" w:lineRule="auto"/>
        <w:ind w:firstLine="540"/>
        <w:jc w:val="both"/>
      </w:pPr>
      <w:r>
        <w:rPr>
          <w:sz w:val="24"/>
        </w:rPr>
        <w:t xml:space="preserve">Формирование рейтинга осуществляется Комитетом по конкурентной политике Мурманской области (далее - Комитет) ежегодно в срок до 10 марта года, следующего за отчетным, в соответствии с </w:t>
      </w:r>
      <w:hyperlink w:history="0" w:anchor="P87" w:tooltip="ПОКАЗАТЕЛИ">
        <w:r>
          <w:rPr>
            <w:sz w:val="24"/>
            <w:color w:val="0000ff"/>
          </w:rPr>
          <w:t xml:space="preserve">показателями</w:t>
        </w:r>
      </w:hyperlink>
      <w:r>
        <w:rPr>
          <w:sz w:val="24"/>
        </w:rPr>
        <w:t xml:space="preserve"> и критериями оценки, приведенными в приложении к настоящей Методике.</w:t>
      </w:r>
    </w:p>
    <w:p>
      <w:pPr>
        <w:pStyle w:val="0"/>
        <w:jc w:val="both"/>
      </w:pPr>
      <w:r>
        <w:rPr>
          <w:sz w:val="24"/>
        </w:rPr>
      </w:r>
    </w:p>
    <w:p>
      <w:pPr>
        <w:pStyle w:val="2"/>
        <w:outlineLvl w:val="1"/>
        <w:jc w:val="center"/>
      </w:pPr>
      <w:r>
        <w:rPr>
          <w:sz w:val="24"/>
        </w:rPr>
        <w:t xml:space="preserve">2. Цели и задачи формирования Рейтинга</w:t>
      </w:r>
    </w:p>
    <w:p>
      <w:pPr>
        <w:pStyle w:val="0"/>
        <w:jc w:val="both"/>
      </w:pPr>
      <w:r>
        <w:rPr>
          <w:sz w:val="24"/>
        </w:rPr>
      </w:r>
    </w:p>
    <w:p>
      <w:pPr>
        <w:pStyle w:val="0"/>
        <w:ind w:firstLine="540"/>
        <w:jc w:val="both"/>
      </w:pPr>
      <w:r>
        <w:rPr>
          <w:sz w:val="24"/>
        </w:rPr>
        <w:t xml:space="preserve">2.1. Целью формирования Рейтинга является проведение оценки эффективности мер по содействию развитию конкуренции и обеспечению условий для благоприятного инвестиционного климата на территории муниципальных округов, городских округов, закрытых административно-территориальных образований Мурманской области.</w:t>
      </w:r>
    </w:p>
    <w:p>
      <w:pPr>
        <w:pStyle w:val="0"/>
        <w:jc w:val="both"/>
      </w:pPr>
      <w:r>
        <w:rPr>
          <w:sz w:val="24"/>
        </w:rPr>
        <w:t xml:space="preserve">(в ред. </w:t>
      </w:r>
      <w:hyperlink w:history="0" r:id="rId17" w:tooltip="Постановление Правительства Мурманской области от 26.03.2026 N 151-ПП &quot;О внесении изменений в некоторые постановления Правительства Мурманской области&quot; {КонсультантПлюс}">
        <w:r>
          <w:rPr>
            <w:sz w:val="24"/>
            <w:color w:val="0000ff"/>
          </w:rPr>
          <w:t xml:space="preserve">Постановления</w:t>
        </w:r>
      </w:hyperlink>
      <w:r>
        <w:rPr>
          <w:sz w:val="24"/>
        </w:rPr>
        <w:t xml:space="preserve"> Правительства Мурманской области от 26.03.2026 N 151-ПП)</w:t>
      </w:r>
    </w:p>
    <w:p>
      <w:pPr>
        <w:pStyle w:val="0"/>
        <w:spacing w:before="240" w:lineRule="auto"/>
        <w:ind w:firstLine="540"/>
        <w:jc w:val="both"/>
      </w:pPr>
      <w:r>
        <w:rPr>
          <w:sz w:val="24"/>
        </w:rPr>
        <w:t xml:space="preserve">2.2. Основными задачами формирования Рейтинга являются:</w:t>
      </w:r>
    </w:p>
    <w:p>
      <w:pPr>
        <w:pStyle w:val="0"/>
        <w:spacing w:before="240" w:lineRule="auto"/>
        <w:ind w:firstLine="540"/>
        <w:jc w:val="both"/>
      </w:pPr>
      <w:r>
        <w:rPr>
          <w:sz w:val="24"/>
        </w:rPr>
        <w:t xml:space="preserve">- выявление органов местного самоуправления муниципальных образований Мурманской области, обеспечивающих наибольший вклад в развитие конкуренции в регионе;</w:t>
      </w:r>
    </w:p>
    <w:p>
      <w:pPr>
        <w:pStyle w:val="0"/>
        <w:spacing w:before="240" w:lineRule="auto"/>
        <w:ind w:firstLine="540"/>
        <w:jc w:val="both"/>
      </w:pPr>
      <w:r>
        <w:rPr>
          <w:sz w:val="24"/>
        </w:rPr>
        <w:t xml:space="preserve">- внедрение передовых муниципальных практик улучшения конкурентной среды в муниципальных образованиях Мурманской области;</w:t>
      </w:r>
    </w:p>
    <w:p>
      <w:pPr>
        <w:pStyle w:val="0"/>
        <w:spacing w:before="240" w:lineRule="auto"/>
        <w:ind w:firstLine="540"/>
        <w:jc w:val="both"/>
      </w:pPr>
      <w:r>
        <w:rPr>
          <w:sz w:val="24"/>
        </w:rPr>
        <w:t xml:space="preserve">- мотивация органов местного самоуправления муниципальных образований Мурманской области к повышению эффективности деятельности по содействию развитию конкуренции с применением передовых муниципальных практик улучшения конкурентной среды в муниципальных образованиях Мурманской области.</w:t>
      </w:r>
    </w:p>
    <w:p>
      <w:pPr>
        <w:pStyle w:val="0"/>
        <w:jc w:val="both"/>
      </w:pPr>
      <w:r>
        <w:rPr>
          <w:sz w:val="24"/>
        </w:rPr>
      </w:r>
    </w:p>
    <w:p>
      <w:pPr>
        <w:pStyle w:val="2"/>
        <w:outlineLvl w:val="1"/>
        <w:jc w:val="center"/>
      </w:pPr>
      <w:r>
        <w:rPr>
          <w:sz w:val="24"/>
        </w:rPr>
        <w:t xml:space="preserve">3. Порядок представления документов и подведения итогов</w:t>
      </w:r>
    </w:p>
    <w:p>
      <w:pPr>
        <w:pStyle w:val="2"/>
        <w:jc w:val="center"/>
      </w:pPr>
      <w:r>
        <w:rPr>
          <w:sz w:val="24"/>
        </w:rPr>
        <w:t xml:space="preserve">формирования Рейтинга</w:t>
      </w:r>
    </w:p>
    <w:p>
      <w:pPr>
        <w:pStyle w:val="0"/>
        <w:jc w:val="both"/>
      </w:pPr>
      <w:r>
        <w:rPr>
          <w:sz w:val="24"/>
        </w:rPr>
      </w:r>
    </w:p>
    <w:p>
      <w:pPr>
        <w:pStyle w:val="0"/>
        <w:ind w:firstLine="540"/>
        <w:jc w:val="both"/>
      </w:pPr>
      <w:r>
        <w:rPr>
          <w:sz w:val="24"/>
        </w:rPr>
        <w:t xml:space="preserve">3.1. Источником информации для формирования Рейтинга являются данные по </w:t>
      </w:r>
      <w:hyperlink w:history="0" w:anchor="P87" w:tooltip="ПОКАЗАТЕЛИ">
        <w:r>
          <w:rPr>
            <w:sz w:val="24"/>
            <w:color w:val="0000ff"/>
          </w:rPr>
          <w:t xml:space="preserve">показателям</w:t>
        </w:r>
      </w:hyperlink>
      <w:r>
        <w:rPr>
          <w:sz w:val="24"/>
        </w:rPr>
        <w:t xml:space="preserve">, указанным в приложении к Методике, поступившие в Комитет от органов местного самоуправления муниципальных образований Мурманской области по форме, установленной Комитетом.</w:t>
      </w:r>
    </w:p>
    <w:p>
      <w:pPr>
        <w:pStyle w:val="0"/>
        <w:spacing w:before="240" w:lineRule="auto"/>
        <w:ind w:firstLine="540"/>
        <w:jc w:val="both"/>
      </w:pPr>
      <w:r>
        <w:rPr>
          <w:sz w:val="24"/>
        </w:rPr>
        <w:t xml:space="preserve">3.2. Информация и документы представляются в Комитет ежегодно в срок до 1 февраля года, следующего за отчетным.</w:t>
      </w:r>
    </w:p>
    <w:p>
      <w:pPr>
        <w:pStyle w:val="0"/>
        <w:spacing w:before="240" w:lineRule="auto"/>
        <w:ind w:firstLine="540"/>
        <w:jc w:val="both"/>
      </w:pPr>
      <w:r>
        <w:rPr>
          <w:sz w:val="24"/>
        </w:rPr>
        <w:t xml:space="preserve">3.3. По результатам оценки деятельности муниципальных образований по содействию развитию конкуренции и обеспечению условий для формирования благоприятного инвестиционного климата формируется Рейтинг муниципальных образований в разрезе муниципальных округов, городских округов, закрытых административно-территориальных образований Мурманской области.</w:t>
      </w:r>
    </w:p>
    <w:p>
      <w:pPr>
        <w:pStyle w:val="0"/>
        <w:jc w:val="both"/>
      </w:pPr>
      <w:r>
        <w:rPr>
          <w:sz w:val="24"/>
        </w:rPr>
        <w:t xml:space="preserve">(в ред. </w:t>
      </w:r>
      <w:hyperlink w:history="0" r:id="rId18" w:tooltip="Постановление Правительства Мурманской области от 26.03.2026 N 151-ПП &quot;О внесении изменений в некоторые постановления Правительства Мурманской области&quot; {КонсультантПлюс}">
        <w:r>
          <w:rPr>
            <w:sz w:val="24"/>
            <w:color w:val="0000ff"/>
          </w:rPr>
          <w:t xml:space="preserve">Постановления</w:t>
        </w:r>
      </w:hyperlink>
      <w:r>
        <w:rPr>
          <w:sz w:val="24"/>
        </w:rPr>
        <w:t xml:space="preserve"> Правительства Мурманской области от 26.03.2026 N 151-ПП)</w:t>
      </w:r>
    </w:p>
    <w:p>
      <w:pPr>
        <w:pStyle w:val="0"/>
        <w:spacing w:before="240" w:lineRule="auto"/>
        <w:ind w:firstLine="540"/>
        <w:jc w:val="both"/>
      </w:pPr>
      <w:r>
        <w:rPr>
          <w:sz w:val="24"/>
        </w:rPr>
        <w:t xml:space="preserve">3.4. По результатам Рейтинга победителями признаются муниципальные образования Мурманской области, занявшие 1 место в Рейтинге в каждом блоке административно-территориальных единиц.</w:t>
      </w:r>
    </w:p>
    <w:p>
      <w:pPr>
        <w:pStyle w:val="0"/>
        <w:spacing w:before="240" w:lineRule="auto"/>
        <w:ind w:firstLine="540"/>
        <w:jc w:val="both"/>
      </w:pPr>
      <w:r>
        <w:rPr>
          <w:sz w:val="24"/>
        </w:rPr>
        <w:t xml:space="preserve">В случае равного количества баллов, набранного несколькими муниципальными образованиями Мурманской области, полученное место в Рейтинге делится между данными муниципальными образованиями в каждом блоке административно-территориальных единиц.</w:t>
      </w:r>
    </w:p>
    <w:p>
      <w:pPr>
        <w:pStyle w:val="0"/>
        <w:spacing w:before="240" w:lineRule="auto"/>
        <w:ind w:firstLine="540"/>
        <w:jc w:val="both"/>
      </w:pPr>
      <w:r>
        <w:rPr>
          <w:sz w:val="24"/>
        </w:rPr>
        <w:t xml:space="preserve">3.5. Рейтинг ежегодно:</w:t>
      </w:r>
    </w:p>
    <w:p>
      <w:pPr>
        <w:pStyle w:val="0"/>
        <w:spacing w:before="240" w:lineRule="auto"/>
        <w:ind w:firstLine="540"/>
        <w:jc w:val="both"/>
      </w:pPr>
      <w:r>
        <w:rPr>
          <w:sz w:val="24"/>
        </w:rPr>
        <w:t xml:space="preserve">- формируется не позднее 10 марта года, следующего за отчетным;</w:t>
      </w:r>
    </w:p>
    <w:p>
      <w:pPr>
        <w:pStyle w:val="0"/>
        <w:spacing w:before="240" w:lineRule="auto"/>
        <w:ind w:firstLine="540"/>
        <w:jc w:val="both"/>
      </w:pPr>
      <w:r>
        <w:rPr>
          <w:sz w:val="24"/>
        </w:rPr>
        <w:t xml:space="preserve">- утверждается приказом Комитета не позднее 25 марта года, следующего за отчетным;</w:t>
      </w:r>
    </w:p>
    <w:p>
      <w:pPr>
        <w:pStyle w:val="0"/>
        <w:spacing w:before="240" w:lineRule="auto"/>
        <w:ind w:firstLine="540"/>
        <w:jc w:val="both"/>
      </w:pPr>
      <w:r>
        <w:rPr>
          <w:sz w:val="24"/>
        </w:rPr>
        <w:t xml:space="preserve">- размещается на официальном сайте Комитета не позднее 5 рабочих дней с даты утверждения.</w:t>
      </w:r>
    </w:p>
    <w:p>
      <w:pPr>
        <w:pStyle w:val="0"/>
        <w:jc w:val="both"/>
      </w:pPr>
      <w:r>
        <w:rPr>
          <w:sz w:val="24"/>
        </w:rPr>
        <w:t xml:space="preserve">(п. 3.5 в ред. </w:t>
      </w:r>
      <w:hyperlink w:history="0" r:id="rId19" w:tooltip="Постановление Правительства Мурманской области от 26.03.2026 N 151-ПП &quot;О внесении изменений в некоторые постановления Правительства Мурманской области&quot; {КонсультантПлюс}">
        <w:r>
          <w:rPr>
            <w:sz w:val="24"/>
            <w:color w:val="0000ff"/>
          </w:rPr>
          <w:t xml:space="preserve">Постановления</w:t>
        </w:r>
      </w:hyperlink>
      <w:r>
        <w:rPr>
          <w:sz w:val="24"/>
        </w:rPr>
        <w:t xml:space="preserve"> Правительства Мурманской области от 26.03.2026 N 151-ПП)</w:t>
      </w:r>
    </w:p>
    <w:p>
      <w:pPr>
        <w:pStyle w:val="0"/>
        <w:spacing w:before="240" w:lineRule="auto"/>
        <w:ind w:firstLine="540"/>
        <w:jc w:val="both"/>
      </w:pPr>
      <w:r>
        <w:rPr>
          <w:sz w:val="24"/>
        </w:rPr>
        <w:t xml:space="preserve">3.6. Победители Рейтинга награждаются благодарственными письмами Губернатора Мурманской области.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w:t>
      </w:r>
    </w:p>
    <w:p>
      <w:pPr>
        <w:pStyle w:val="0"/>
        <w:jc w:val="right"/>
      </w:pPr>
      <w:r>
        <w:rPr>
          <w:sz w:val="24"/>
        </w:rPr>
        <w:t xml:space="preserve">к Методике</w:t>
      </w:r>
    </w:p>
    <w:p>
      <w:pPr>
        <w:pStyle w:val="0"/>
        <w:jc w:val="both"/>
      </w:pPr>
      <w:r>
        <w:rPr>
          <w:sz w:val="24"/>
        </w:rPr>
      </w:r>
    </w:p>
    <w:bookmarkStart w:id="87" w:name="P87"/>
    <w:bookmarkEnd w:id="87"/>
    <w:p>
      <w:pPr>
        <w:pStyle w:val="2"/>
        <w:jc w:val="center"/>
      </w:pPr>
      <w:r>
        <w:rPr>
          <w:sz w:val="24"/>
        </w:rPr>
        <w:t xml:space="preserve">ПОКАЗАТЕЛИ</w:t>
      </w:r>
    </w:p>
    <w:p>
      <w:pPr>
        <w:pStyle w:val="2"/>
        <w:jc w:val="center"/>
      </w:pPr>
      <w:r>
        <w:rPr>
          <w:sz w:val="24"/>
        </w:rPr>
        <w:t xml:space="preserve">ОЦЕНКИ ДЕЯТЕЛЬНОСТИ ОРГАНОВ МЕСТНОГО САМОУПРАВЛЕНИЯ</w:t>
      </w:r>
    </w:p>
    <w:p>
      <w:pPr>
        <w:pStyle w:val="2"/>
        <w:jc w:val="center"/>
      </w:pPr>
      <w:r>
        <w:rPr>
          <w:sz w:val="24"/>
        </w:rPr>
        <w:t xml:space="preserve">МУНИЦИПАЛЬНЫХ ОБРАЗОВАНИЙ МУРМАНСКОЙ ОБЛАСТИ ПО СОДЕЙСТВИЮ</w:t>
      </w:r>
    </w:p>
    <w:p>
      <w:pPr>
        <w:pStyle w:val="2"/>
        <w:jc w:val="center"/>
      </w:pPr>
      <w:r>
        <w:rPr>
          <w:sz w:val="24"/>
        </w:rPr>
        <w:t xml:space="preserve">РАЗВИТИЮ КОНКУРЕНЦИИ И ОБЕСПЕЧЕНИЮ УСЛОВИЙ</w:t>
      </w:r>
    </w:p>
    <w:p>
      <w:pPr>
        <w:pStyle w:val="2"/>
        <w:jc w:val="center"/>
      </w:pPr>
      <w:r>
        <w:rPr>
          <w:sz w:val="24"/>
        </w:rPr>
        <w:t xml:space="preserve">ДЛЯ БЛАГОПРИЯТНОГО ИНВЕСТИЦИОННОГО КЛИМАТА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Мурманской области</w:t>
            </w:r>
          </w:p>
          <w:p>
            <w:pPr>
              <w:pStyle w:val="0"/>
              <w:jc w:val="center"/>
            </w:pPr>
            <w:r>
              <w:rPr>
                <w:sz w:val="24"/>
                <w:color w:val="392c69"/>
              </w:rPr>
              <w:t xml:space="preserve">от 11.11.2024 </w:t>
            </w:r>
            <w:hyperlink w:history="0" r:id="rId20" w:tooltip="Постановление Правительства Мурманской области от 11.11.2024 N 777-ПП &quot;О внесении изменений в методику формирования рейтинга органов местного самоуправления муниципальных образований Мурманской области в части деятельности по содействию развитию конкуренции и обеспечению условий для благоприятного инвестиционного климата&quot; (вместе с &quot;Показателями оценки деятельности органов местного самоуправления муниципальных образований Мурманской области по содействию развитию конкуренции и обеспечению условий для благоп {КонсультантПлюс}">
              <w:r>
                <w:rPr>
                  <w:sz w:val="24"/>
                  <w:color w:val="0000ff"/>
                </w:rPr>
                <w:t xml:space="preserve">N 777-ПП</w:t>
              </w:r>
            </w:hyperlink>
            <w:r>
              <w:rPr>
                <w:sz w:val="24"/>
                <w:color w:val="392c69"/>
              </w:rPr>
              <w:t xml:space="preserve">, от 26.03.2026 </w:t>
            </w:r>
            <w:hyperlink w:history="0" r:id="rId21" w:tooltip="Постановление Правительства Мурманской области от 26.03.2026 N 151-ПП &quot;О внесении изменений в некоторые постановления Правительства Мурманской области&quot; {КонсультантПлюс}">
              <w:r>
                <w:rPr>
                  <w:sz w:val="24"/>
                  <w:color w:val="0000ff"/>
                </w:rPr>
                <w:t xml:space="preserve">N 151-ПП</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Оценка деятельности органов местного самоуправления Мурманской области по содействию развитию конкуренции и обеспечению условий для благоприятного инвестиционного климата осуществляется на основании следующих показателей:</w:t>
      </w:r>
    </w:p>
    <w:p>
      <w:pPr>
        <w:pStyle w:val="0"/>
        <w:jc w:val="both"/>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54"/>
        <w:gridCol w:w="4354"/>
        <w:gridCol w:w="4354"/>
        <w:gridCol w:w="1459"/>
      </w:tblGrid>
      <w:tr>
        <w:tc>
          <w:tcPr>
            <w:tcW w:w="454" w:type="dxa"/>
          </w:tcPr>
          <w:p>
            <w:pPr>
              <w:pStyle w:val="0"/>
              <w:jc w:val="center"/>
            </w:pPr>
            <w:r>
              <w:rPr>
                <w:sz w:val="24"/>
              </w:rPr>
              <w:t xml:space="preserve">N п/п</w:t>
            </w:r>
          </w:p>
        </w:tc>
        <w:tc>
          <w:tcPr>
            <w:tcW w:w="4354" w:type="dxa"/>
          </w:tcPr>
          <w:p>
            <w:pPr>
              <w:pStyle w:val="0"/>
              <w:jc w:val="center"/>
            </w:pPr>
            <w:r>
              <w:rPr>
                <w:sz w:val="24"/>
              </w:rPr>
              <w:t xml:space="preserve">Наименование показателя</w:t>
            </w:r>
          </w:p>
        </w:tc>
        <w:tc>
          <w:tcPr>
            <w:tcW w:w="4354" w:type="dxa"/>
          </w:tcPr>
          <w:p>
            <w:pPr>
              <w:pStyle w:val="0"/>
              <w:jc w:val="center"/>
            </w:pPr>
            <w:r>
              <w:rPr>
                <w:sz w:val="24"/>
              </w:rPr>
              <w:t xml:space="preserve">Критерии оценки</w:t>
            </w:r>
          </w:p>
        </w:tc>
        <w:tc>
          <w:tcPr>
            <w:tcW w:w="1459" w:type="dxa"/>
          </w:tcPr>
          <w:p>
            <w:pPr>
              <w:pStyle w:val="0"/>
              <w:jc w:val="center"/>
            </w:pPr>
            <w:r>
              <w:rPr>
                <w:sz w:val="24"/>
              </w:rPr>
              <w:t xml:space="preserve">Количество баллов</w:t>
            </w:r>
          </w:p>
        </w:tc>
      </w:tr>
      <w:tr>
        <w:tc>
          <w:tcPr>
            <w:tcW w:w="454" w:type="dxa"/>
          </w:tcPr>
          <w:p>
            <w:pPr>
              <w:pStyle w:val="0"/>
              <w:jc w:val="center"/>
            </w:pPr>
            <w:r>
              <w:rPr>
                <w:sz w:val="24"/>
              </w:rPr>
              <w:t xml:space="preserve">1</w:t>
            </w:r>
          </w:p>
        </w:tc>
        <w:tc>
          <w:tcPr>
            <w:tcW w:w="4354" w:type="dxa"/>
          </w:tcPr>
          <w:p>
            <w:pPr>
              <w:pStyle w:val="0"/>
              <w:jc w:val="center"/>
            </w:pPr>
            <w:r>
              <w:rPr>
                <w:sz w:val="24"/>
              </w:rPr>
              <w:t xml:space="preserve">2</w:t>
            </w:r>
          </w:p>
        </w:tc>
        <w:tc>
          <w:tcPr>
            <w:tcW w:w="4354" w:type="dxa"/>
          </w:tcPr>
          <w:p>
            <w:pPr>
              <w:pStyle w:val="0"/>
              <w:jc w:val="center"/>
            </w:pPr>
            <w:r>
              <w:rPr>
                <w:sz w:val="24"/>
              </w:rPr>
              <w:t xml:space="preserve">3</w:t>
            </w:r>
          </w:p>
        </w:tc>
        <w:tc>
          <w:tcPr>
            <w:tcW w:w="1459" w:type="dxa"/>
          </w:tcPr>
          <w:p>
            <w:pPr>
              <w:pStyle w:val="0"/>
              <w:jc w:val="center"/>
            </w:pPr>
            <w:r>
              <w:rPr>
                <w:sz w:val="24"/>
              </w:rPr>
              <w:t xml:space="preserve">4</w:t>
            </w:r>
          </w:p>
        </w:tc>
      </w:tr>
      <w:tr>
        <w:tc>
          <w:tcPr>
            <w:tcW w:w="454" w:type="dxa"/>
            <w:vMerge w:val="restart"/>
          </w:tcPr>
          <w:p>
            <w:pPr>
              <w:pStyle w:val="0"/>
              <w:jc w:val="center"/>
            </w:pPr>
            <w:r>
              <w:rPr>
                <w:sz w:val="24"/>
              </w:rPr>
              <w:t xml:space="preserve">1</w:t>
            </w:r>
          </w:p>
        </w:tc>
        <w:tc>
          <w:tcPr>
            <w:tcW w:w="4354" w:type="dxa"/>
            <w:vMerge w:val="restart"/>
          </w:tcPr>
          <w:p>
            <w:pPr>
              <w:pStyle w:val="0"/>
            </w:pPr>
            <w:r>
              <w:rPr>
                <w:sz w:val="24"/>
              </w:rPr>
              <w:t xml:space="preserve">Наличие Соглашения о внедрении стандарта развития конкуренции в Мурманской области между Комитетом по конкурентной политике Мурманской области и администрацией муниципального образования</w:t>
            </w:r>
          </w:p>
        </w:tc>
        <w:tc>
          <w:tcPr>
            <w:tcW w:w="4354" w:type="dxa"/>
          </w:tcPr>
          <w:p>
            <w:pPr>
              <w:pStyle w:val="0"/>
            </w:pPr>
            <w:r>
              <w:rPr>
                <w:sz w:val="24"/>
              </w:rPr>
              <w:t xml:space="preserve">Соглашение заключено, сканированная копия Соглашения размещена на официальном сайте администрации</w:t>
            </w:r>
          </w:p>
        </w:tc>
        <w:tc>
          <w:tcPr>
            <w:tcW w:w="1459" w:type="dxa"/>
          </w:tcPr>
          <w:p>
            <w:pPr>
              <w:pStyle w:val="0"/>
              <w:jc w:val="center"/>
            </w:pPr>
            <w:r>
              <w:rPr>
                <w:sz w:val="24"/>
              </w:rPr>
              <w:t xml:space="preserve">3</w:t>
            </w:r>
          </w:p>
        </w:tc>
      </w:tr>
      <w:tr>
        <w:tc>
          <w:tcPr>
            <w:vMerge w:val="continue"/>
          </w:tcPr>
          <w:p/>
        </w:tc>
        <w:tc>
          <w:tcPr>
            <w:vMerge w:val="continue"/>
          </w:tcPr>
          <w:p/>
        </w:tc>
        <w:tc>
          <w:tcPr>
            <w:tcW w:w="4354" w:type="dxa"/>
          </w:tcPr>
          <w:p>
            <w:pPr>
              <w:pStyle w:val="0"/>
            </w:pPr>
            <w:r>
              <w:rPr>
                <w:sz w:val="24"/>
              </w:rPr>
              <w:t xml:space="preserve">Соглашение заключено, сканированная копия Соглашения не размещена на официальном сайте администрации</w:t>
            </w:r>
          </w:p>
        </w:tc>
        <w:tc>
          <w:tcPr>
            <w:tcW w:w="1459" w:type="dxa"/>
          </w:tcPr>
          <w:p>
            <w:pPr>
              <w:pStyle w:val="0"/>
              <w:jc w:val="center"/>
            </w:pPr>
            <w:r>
              <w:rPr>
                <w:sz w:val="24"/>
              </w:rPr>
              <w:t xml:space="preserve">1</w:t>
            </w:r>
          </w:p>
        </w:tc>
      </w:tr>
      <w:tr>
        <w:tc>
          <w:tcPr>
            <w:vMerge w:val="continue"/>
          </w:tcPr>
          <w:p/>
        </w:tc>
        <w:tc>
          <w:tcPr>
            <w:vMerge w:val="continue"/>
          </w:tcPr>
          <w:p/>
        </w:tc>
        <w:tc>
          <w:tcPr>
            <w:tcW w:w="4354" w:type="dxa"/>
          </w:tcPr>
          <w:p>
            <w:pPr>
              <w:pStyle w:val="0"/>
            </w:pPr>
            <w:r>
              <w:rPr>
                <w:sz w:val="24"/>
              </w:rPr>
              <w:t xml:space="preserve">Соглашение не заключено</w:t>
            </w:r>
          </w:p>
        </w:tc>
        <w:tc>
          <w:tcPr>
            <w:tcW w:w="1459" w:type="dxa"/>
          </w:tcPr>
          <w:p>
            <w:pPr>
              <w:pStyle w:val="0"/>
              <w:jc w:val="center"/>
            </w:pPr>
            <w:r>
              <w:rPr>
                <w:sz w:val="24"/>
              </w:rPr>
              <w:t xml:space="preserve">-5</w:t>
            </w:r>
          </w:p>
        </w:tc>
      </w:tr>
      <w:tr>
        <w:tc>
          <w:tcPr>
            <w:tcW w:w="454" w:type="dxa"/>
            <w:vMerge w:val="restart"/>
          </w:tcPr>
          <w:p>
            <w:pPr>
              <w:pStyle w:val="0"/>
              <w:jc w:val="center"/>
            </w:pPr>
            <w:r>
              <w:rPr>
                <w:sz w:val="24"/>
              </w:rPr>
              <w:t xml:space="preserve">2</w:t>
            </w:r>
          </w:p>
        </w:tc>
        <w:tc>
          <w:tcPr>
            <w:tcW w:w="4354" w:type="dxa"/>
            <w:vMerge w:val="restart"/>
          </w:tcPr>
          <w:p>
            <w:pPr>
              <w:pStyle w:val="0"/>
            </w:pPr>
            <w:r>
              <w:rPr>
                <w:sz w:val="24"/>
              </w:rPr>
              <w:t xml:space="preserve">Наличие уполномоченного органа по содействию развитию конкуренции в муниципальном образовании и (или) структурного(-ых) подразделения(-ий) и (или) лица (лиц), ответственного(-ых) за реализацию мероприятий по содействию развитию конкуренции</w:t>
            </w:r>
          </w:p>
        </w:tc>
        <w:tc>
          <w:tcPr>
            <w:tcW w:w="4354" w:type="dxa"/>
          </w:tcPr>
          <w:p>
            <w:pPr>
              <w:pStyle w:val="0"/>
            </w:pPr>
            <w:r>
              <w:rPr>
                <w:sz w:val="24"/>
              </w:rPr>
              <w:t xml:space="preserve">Наличие</w:t>
            </w:r>
          </w:p>
        </w:tc>
        <w:tc>
          <w:tcPr>
            <w:tcW w:w="1459" w:type="dxa"/>
          </w:tcPr>
          <w:p>
            <w:pPr>
              <w:pStyle w:val="0"/>
              <w:jc w:val="center"/>
            </w:pPr>
            <w:r>
              <w:rPr>
                <w:sz w:val="24"/>
              </w:rPr>
              <w:t xml:space="preserve">5</w:t>
            </w:r>
          </w:p>
        </w:tc>
      </w:tr>
      <w:tr>
        <w:tc>
          <w:tcPr>
            <w:vMerge w:val="continue"/>
          </w:tcPr>
          <w:p/>
        </w:tc>
        <w:tc>
          <w:tcPr>
            <w:vMerge w:val="continue"/>
          </w:tcPr>
          <w:p/>
        </w:tc>
        <w:tc>
          <w:tcPr>
            <w:tcW w:w="4354" w:type="dxa"/>
          </w:tcPr>
          <w:p>
            <w:pPr>
              <w:pStyle w:val="0"/>
            </w:pPr>
            <w:r>
              <w:rPr>
                <w:sz w:val="24"/>
              </w:rPr>
              <w:t xml:space="preserve">Отсутствие</w:t>
            </w:r>
          </w:p>
        </w:tc>
        <w:tc>
          <w:tcPr>
            <w:tcW w:w="1459" w:type="dxa"/>
          </w:tcPr>
          <w:p>
            <w:pPr>
              <w:pStyle w:val="0"/>
              <w:jc w:val="center"/>
            </w:pPr>
            <w:r>
              <w:rPr>
                <w:sz w:val="24"/>
              </w:rPr>
              <w:t xml:space="preserve">0</w:t>
            </w:r>
          </w:p>
        </w:tc>
      </w:tr>
      <w:tr>
        <w:tc>
          <w:tcPr>
            <w:tcW w:w="454" w:type="dxa"/>
            <w:vMerge w:val="restart"/>
          </w:tcPr>
          <w:p>
            <w:pPr>
              <w:pStyle w:val="0"/>
              <w:jc w:val="center"/>
            </w:pPr>
            <w:r>
              <w:rPr>
                <w:sz w:val="24"/>
              </w:rPr>
              <w:t xml:space="preserve">3</w:t>
            </w:r>
          </w:p>
        </w:tc>
        <w:tc>
          <w:tcPr>
            <w:tcW w:w="4354" w:type="dxa"/>
            <w:vMerge w:val="restart"/>
          </w:tcPr>
          <w:p>
            <w:pPr>
              <w:pStyle w:val="0"/>
            </w:pPr>
            <w:r>
              <w:rPr>
                <w:sz w:val="24"/>
              </w:rPr>
              <w:t xml:space="preserve">Наличие рабочей группы по содействию развитию конкуренции в муниципальном образовании Мурманской области</w:t>
            </w:r>
          </w:p>
        </w:tc>
        <w:tc>
          <w:tcPr>
            <w:tcW w:w="4354" w:type="dxa"/>
          </w:tcPr>
          <w:p>
            <w:pPr>
              <w:pStyle w:val="0"/>
            </w:pPr>
            <w:r>
              <w:rPr>
                <w:sz w:val="24"/>
              </w:rPr>
              <w:t xml:space="preserve">Наличие</w:t>
            </w:r>
          </w:p>
        </w:tc>
        <w:tc>
          <w:tcPr>
            <w:tcW w:w="1459" w:type="dxa"/>
          </w:tcPr>
          <w:p>
            <w:pPr>
              <w:pStyle w:val="0"/>
              <w:jc w:val="center"/>
            </w:pPr>
            <w:r>
              <w:rPr>
                <w:sz w:val="24"/>
              </w:rPr>
              <w:t xml:space="preserve">3</w:t>
            </w:r>
          </w:p>
        </w:tc>
      </w:tr>
      <w:tr>
        <w:tc>
          <w:tcPr>
            <w:vMerge w:val="continue"/>
          </w:tcPr>
          <w:p/>
        </w:tc>
        <w:tc>
          <w:tcPr>
            <w:vMerge w:val="continue"/>
          </w:tcPr>
          <w:p/>
        </w:tc>
        <w:tc>
          <w:tcPr>
            <w:tcW w:w="4354" w:type="dxa"/>
          </w:tcPr>
          <w:p>
            <w:pPr>
              <w:pStyle w:val="0"/>
            </w:pPr>
            <w:r>
              <w:rPr>
                <w:sz w:val="24"/>
              </w:rPr>
              <w:t xml:space="preserve">Отсутствие</w:t>
            </w:r>
          </w:p>
        </w:tc>
        <w:tc>
          <w:tcPr>
            <w:tcW w:w="1459" w:type="dxa"/>
          </w:tcPr>
          <w:p>
            <w:pPr>
              <w:pStyle w:val="0"/>
              <w:jc w:val="center"/>
            </w:pPr>
            <w:r>
              <w:rPr>
                <w:sz w:val="24"/>
              </w:rPr>
              <w:t xml:space="preserve">0</w:t>
            </w:r>
          </w:p>
        </w:tc>
      </w:tr>
      <w:tr>
        <w:tc>
          <w:tcPr>
            <w:tcW w:w="454" w:type="dxa"/>
            <w:vMerge w:val="restart"/>
          </w:tcPr>
          <w:p>
            <w:pPr>
              <w:pStyle w:val="0"/>
              <w:jc w:val="center"/>
            </w:pPr>
            <w:r>
              <w:rPr>
                <w:sz w:val="24"/>
              </w:rPr>
              <w:t xml:space="preserve">4</w:t>
            </w:r>
          </w:p>
        </w:tc>
        <w:tc>
          <w:tcPr>
            <w:tcW w:w="4354" w:type="dxa"/>
            <w:vMerge w:val="restart"/>
          </w:tcPr>
          <w:p>
            <w:pPr>
              <w:pStyle w:val="0"/>
            </w:pPr>
            <w:r>
              <w:rPr>
                <w:sz w:val="24"/>
              </w:rPr>
              <w:t xml:space="preserve">Наличие на официальном сайте администрации муниципального образования в информационно-телекоммуникационной сети Интернет раздела, посвященного вопросам внедрения стандарта развития конкуренции</w:t>
            </w:r>
          </w:p>
        </w:tc>
        <w:tc>
          <w:tcPr>
            <w:tcW w:w="4354" w:type="dxa"/>
          </w:tcPr>
          <w:p>
            <w:pPr>
              <w:pStyle w:val="0"/>
            </w:pPr>
            <w:r>
              <w:rPr>
                <w:sz w:val="24"/>
              </w:rPr>
              <w:t xml:space="preserve">Наличие</w:t>
            </w:r>
          </w:p>
        </w:tc>
        <w:tc>
          <w:tcPr>
            <w:tcW w:w="1459" w:type="dxa"/>
          </w:tcPr>
          <w:p>
            <w:pPr>
              <w:pStyle w:val="0"/>
              <w:jc w:val="center"/>
            </w:pPr>
            <w:r>
              <w:rPr>
                <w:sz w:val="24"/>
              </w:rPr>
              <w:t xml:space="preserve">3</w:t>
            </w:r>
          </w:p>
        </w:tc>
      </w:tr>
      <w:tr>
        <w:tc>
          <w:tcPr>
            <w:vMerge w:val="continue"/>
          </w:tcPr>
          <w:p/>
        </w:tc>
        <w:tc>
          <w:tcPr>
            <w:vMerge w:val="continue"/>
          </w:tcPr>
          <w:p/>
        </w:tc>
        <w:tc>
          <w:tcPr>
            <w:tcW w:w="4354" w:type="dxa"/>
          </w:tcPr>
          <w:p>
            <w:pPr>
              <w:pStyle w:val="0"/>
            </w:pPr>
            <w:r>
              <w:rPr>
                <w:sz w:val="24"/>
              </w:rPr>
              <w:t xml:space="preserve">Отсутствие</w:t>
            </w:r>
          </w:p>
        </w:tc>
        <w:tc>
          <w:tcPr>
            <w:tcW w:w="1459" w:type="dxa"/>
          </w:tcPr>
          <w:p>
            <w:pPr>
              <w:pStyle w:val="0"/>
              <w:jc w:val="center"/>
            </w:pPr>
            <w:r>
              <w:rPr>
                <w:sz w:val="24"/>
              </w:rPr>
              <w:t xml:space="preserve">0</w:t>
            </w:r>
          </w:p>
        </w:tc>
      </w:tr>
      <w:tr>
        <w:tc>
          <w:tcPr>
            <w:tcW w:w="454" w:type="dxa"/>
            <w:vMerge w:val="restart"/>
          </w:tcPr>
          <w:p>
            <w:pPr>
              <w:pStyle w:val="0"/>
              <w:jc w:val="center"/>
            </w:pPr>
            <w:r>
              <w:rPr>
                <w:sz w:val="24"/>
              </w:rPr>
              <w:t xml:space="preserve">5</w:t>
            </w:r>
          </w:p>
        </w:tc>
        <w:tc>
          <w:tcPr>
            <w:tcW w:w="4354" w:type="dxa"/>
            <w:vMerge w:val="restart"/>
          </w:tcPr>
          <w:p>
            <w:pPr>
              <w:pStyle w:val="0"/>
            </w:pPr>
            <w:r>
              <w:rPr>
                <w:sz w:val="24"/>
              </w:rPr>
              <w:t xml:space="preserve">Участие в обучающих мероприятиях по вопросам содействия развитию конкуренции</w:t>
            </w:r>
          </w:p>
        </w:tc>
        <w:tc>
          <w:tcPr>
            <w:tcW w:w="4354" w:type="dxa"/>
          </w:tcPr>
          <w:p>
            <w:pPr>
              <w:pStyle w:val="0"/>
            </w:pPr>
            <w:r>
              <w:rPr>
                <w:sz w:val="24"/>
              </w:rPr>
              <w:t xml:space="preserve">Принято участие в 2 мероприятиях и более</w:t>
            </w:r>
          </w:p>
        </w:tc>
        <w:tc>
          <w:tcPr>
            <w:tcW w:w="1459" w:type="dxa"/>
          </w:tcPr>
          <w:p>
            <w:pPr>
              <w:pStyle w:val="0"/>
              <w:jc w:val="center"/>
            </w:pPr>
            <w:r>
              <w:rPr>
                <w:sz w:val="24"/>
              </w:rPr>
              <w:t xml:space="preserve">3</w:t>
            </w:r>
          </w:p>
        </w:tc>
      </w:tr>
      <w:tr>
        <w:tc>
          <w:tcPr>
            <w:vMerge w:val="continue"/>
          </w:tcPr>
          <w:p/>
        </w:tc>
        <w:tc>
          <w:tcPr>
            <w:vMerge w:val="continue"/>
          </w:tcPr>
          <w:p/>
        </w:tc>
        <w:tc>
          <w:tcPr>
            <w:tcW w:w="4354" w:type="dxa"/>
          </w:tcPr>
          <w:p>
            <w:pPr>
              <w:pStyle w:val="0"/>
            </w:pPr>
            <w:r>
              <w:rPr>
                <w:sz w:val="24"/>
              </w:rPr>
              <w:t xml:space="preserve">Принято участие в 1 мероприятии</w:t>
            </w:r>
          </w:p>
        </w:tc>
        <w:tc>
          <w:tcPr>
            <w:tcW w:w="1459" w:type="dxa"/>
          </w:tcPr>
          <w:p>
            <w:pPr>
              <w:pStyle w:val="0"/>
              <w:jc w:val="center"/>
            </w:pPr>
            <w:r>
              <w:rPr>
                <w:sz w:val="24"/>
              </w:rPr>
              <w:t xml:space="preserve">1</w:t>
            </w:r>
          </w:p>
        </w:tc>
      </w:tr>
      <w:tr>
        <w:tc>
          <w:tcPr>
            <w:vMerge w:val="continue"/>
          </w:tcPr>
          <w:p/>
        </w:tc>
        <w:tc>
          <w:tcPr>
            <w:vMerge w:val="continue"/>
          </w:tcPr>
          <w:p/>
        </w:tc>
        <w:tc>
          <w:tcPr>
            <w:tcW w:w="4354" w:type="dxa"/>
          </w:tcPr>
          <w:p>
            <w:pPr>
              <w:pStyle w:val="0"/>
            </w:pPr>
            <w:r>
              <w:rPr>
                <w:sz w:val="24"/>
              </w:rPr>
              <w:t xml:space="preserve">Не принято участие</w:t>
            </w:r>
          </w:p>
        </w:tc>
        <w:tc>
          <w:tcPr>
            <w:tcW w:w="1459" w:type="dxa"/>
          </w:tcPr>
          <w:p>
            <w:pPr>
              <w:pStyle w:val="0"/>
              <w:jc w:val="center"/>
            </w:pPr>
            <w:r>
              <w:rPr>
                <w:sz w:val="24"/>
              </w:rPr>
              <w:t xml:space="preserve">0</w:t>
            </w:r>
          </w:p>
        </w:tc>
      </w:tr>
      <w:tr>
        <w:tc>
          <w:tcPr>
            <w:tcW w:w="454" w:type="dxa"/>
            <w:vMerge w:val="restart"/>
          </w:tcPr>
          <w:p>
            <w:pPr>
              <w:pStyle w:val="0"/>
              <w:jc w:val="center"/>
            </w:pPr>
            <w:r>
              <w:rPr>
                <w:sz w:val="24"/>
              </w:rPr>
              <w:t xml:space="preserve">6</w:t>
            </w:r>
          </w:p>
        </w:tc>
        <w:tc>
          <w:tcPr>
            <w:tcW w:w="4354" w:type="dxa"/>
            <w:vMerge w:val="restart"/>
          </w:tcPr>
          <w:p>
            <w:pPr>
              <w:pStyle w:val="0"/>
            </w:pPr>
            <w:r>
              <w:rPr>
                <w:sz w:val="24"/>
              </w:rPr>
              <w:t xml:space="preserve">Проведение обучающих мероприятий по вопросам содействия развитию конкуренции</w:t>
            </w:r>
          </w:p>
        </w:tc>
        <w:tc>
          <w:tcPr>
            <w:tcW w:w="4354" w:type="dxa"/>
          </w:tcPr>
          <w:p>
            <w:pPr>
              <w:pStyle w:val="0"/>
            </w:pPr>
            <w:r>
              <w:rPr>
                <w:sz w:val="24"/>
              </w:rPr>
              <w:t xml:space="preserve">Проведено 2 мероприятия и более</w:t>
            </w:r>
          </w:p>
        </w:tc>
        <w:tc>
          <w:tcPr>
            <w:tcW w:w="1459" w:type="dxa"/>
          </w:tcPr>
          <w:p>
            <w:pPr>
              <w:pStyle w:val="0"/>
              <w:jc w:val="center"/>
            </w:pPr>
            <w:r>
              <w:rPr>
                <w:sz w:val="24"/>
              </w:rPr>
              <w:t xml:space="preserve">3</w:t>
            </w:r>
          </w:p>
        </w:tc>
      </w:tr>
      <w:tr>
        <w:tc>
          <w:tcPr>
            <w:vMerge w:val="continue"/>
          </w:tcPr>
          <w:p/>
        </w:tc>
        <w:tc>
          <w:tcPr>
            <w:vMerge w:val="continue"/>
          </w:tcPr>
          <w:p/>
        </w:tc>
        <w:tc>
          <w:tcPr>
            <w:tcW w:w="4354" w:type="dxa"/>
          </w:tcPr>
          <w:p>
            <w:pPr>
              <w:pStyle w:val="0"/>
            </w:pPr>
            <w:r>
              <w:rPr>
                <w:sz w:val="24"/>
              </w:rPr>
              <w:t xml:space="preserve">Проведено 1 мероприятие</w:t>
            </w:r>
          </w:p>
        </w:tc>
        <w:tc>
          <w:tcPr>
            <w:tcW w:w="1459" w:type="dxa"/>
          </w:tcPr>
          <w:p>
            <w:pPr>
              <w:pStyle w:val="0"/>
              <w:jc w:val="center"/>
            </w:pPr>
            <w:r>
              <w:rPr>
                <w:sz w:val="24"/>
              </w:rPr>
              <w:t xml:space="preserve">1</w:t>
            </w:r>
          </w:p>
        </w:tc>
      </w:tr>
      <w:tr>
        <w:tc>
          <w:tcPr>
            <w:vMerge w:val="continue"/>
          </w:tcPr>
          <w:p/>
        </w:tc>
        <w:tc>
          <w:tcPr>
            <w:vMerge w:val="continue"/>
          </w:tcPr>
          <w:p/>
        </w:tc>
        <w:tc>
          <w:tcPr>
            <w:tcW w:w="4354" w:type="dxa"/>
          </w:tcPr>
          <w:p>
            <w:pPr>
              <w:pStyle w:val="0"/>
            </w:pPr>
            <w:r>
              <w:rPr>
                <w:sz w:val="24"/>
              </w:rPr>
              <w:t xml:space="preserve">Мероприятия не проводились</w:t>
            </w:r>
          </w:p>
        </w:tc>
        <w:tc>
          <w:tcPr>
            <w:tcW w:w="1459" w:type="dxa"/>
          </w:tcPr>
          <w:p>
            <w:pPr>
              <w:pStyle w:val="0"/>
              <w:jc w:val="center"/>
            </w:pPr>
            <w:r>
              <w:rPr>
                <w:sz w:val="24"/>
              </w:rPr>
              <w:t xml:space="preserve">0</w:t>
            </w:r>
          </w:p>
        </w:tc>
      </w:tr>
      <w:tr>
        <w:tc>
          <w:tcPr>
            <w:tcW w:w="454" w:type="dxa"/>
            <w:vMerge w:val="restart"/>
          </w:tcPr>
          <w:p>
            <w:pPr>
              <w:pStyle w:val="0"/>
              <w:jc w:val="center"/>
            </w:pPr>
            <w:r>
              <w:rPr>
                <w:sz w:val="24"/>
              </w:rPr>
              <w:t xml:space="preserve">7</w:t>
            </w:r>
          </w:p>
        </w:tc>
        <w:tc>
          <w:tcPr>
            <w:tcW w:w="4354" w:type="dxa"/>
            <w:vMerge w:val="restart"/>
          </w:tcPr>
          <w:p>
            <w:pPr>
              <w:pStyle w:val="0"/>
            </w:pPr>
            <w:r>
              <w:rPr>
                <w:sz w:val="24"/>
              </w:rPr>
              <w:t xml:space="preserve">Своевременность и качество представления информации о ходе реализации отдельных поручений по развитию конкуренции, мероприятий по развитию конкуренции и достижении показателей</w:t>
            </w:r>
          </w:p>
        </w:tc>
        <w:tc>
          <w:tcPr>
            <w:tcW w:w="4354" w:type="dxa"/>
          </w:tcPr>
          <w:p>
            <w:pPr>
              <w:pStyle w:val="0"/>
            </w:pPr>
            <w:r>
              <w:rPr>
                <w:sz w:val="24"/>
              </w:rPr>
              <w:t xml:space="preserve">Наличие срыва сроков представления сведений</w:t>
            </w:r>
          </w:p>
        </w:tc>
        <w:tc>
          <w:tcPr>
            <w:tcW w:w="1459" w:type="dxa"/>
          </w:tcPr>
          <w:p>
            <w:pPr>
              <w:pStyle w:val="0"/>
              <w:jc w:val="center"/>
            </w:pPr>
            <w:r>
              <w:rPr>
                <w:sz w:val="24"/>
              </w:rPr>
              <w:t xml:space="preserve">-2 (за каждое поручение)</w:t>
            </w:r>
          </w:p>
        </w:tc>
      </w:tr>
      <w:tr>
        <w:tc>
          <w:tcPr>
            <w:vMerge w:val="continue"/>
          </w:tcPr>
          <w:p/>
        </w:tc>
        <w:tc>
          <w:tcPr>
            <w:vMerge w:val="continue"/>
          </w:tcPr>
          <w:p/>
        </w:tc>
        <w:tc>
          <w:tcPr>
            <w:tcW w:w="4354" w:type="dxa"/>
          </w:tcPr>
          <w:p>
            <w:pPr>
              <w:pStyle w:val="0"/>
            </w:pPr>
            <w:r>
              <w:rPr>
                <w:sz w:val="24"/>
              </w:rPr>
              <w:t xml:space="preserve">Количество невыполненных поручений</w:t>
            </w:r>
          </w:p>
        </w:tc>
        <w:tc>
          <w:tcPr>
            <w:tcW w:w="1459" w:type="dxa"/>
          </w:tcPr>
          <w:p>
            <w:pPr>
              <w:pStyle w:val="0"/>
              <w:jc w:val="center"/>
            </w:pPr>
            <w:r>
              <w:rPr>
                <w:sz w:val="24"/>
              </w:rPr>
              <w:t xml:space="preserve">-3 (за каждое поручение)</w:t>
            </w:r>
          </w:p>
        </w:tc>
      </w:tr>
      <w:tr>
        <w:tc>
          <w:tcPr>
            <w:tcW w:w="454" w:type="dxa"/>
            <w:vMerge w:val="restart"/>
          </w:tcPr>
          <w:p>
            <w:pPr>
              <w:pStyle w:val="0"/>
              <w:jc w:val="center"/>
            </w:pPr>
            <w:r>
              <w:rPr>
                <w:sz w:val="24"/>
              </w:rPr>
              <w:t xml:space="preserve">8</w:t>
            </w:r>
          </w:p>
        </w:tc>
        <w:tc>
          <w:tcPr>
            <w:tcW w:w="4354" w:type="dxa"/>
            <w:vMerge w:val="restart"/>
          </w:tcPr>
          <w:p>
            <w:pPr>
              <w:pStyle w:val="0"/>
            </w:pPr>
            <w:r>
              <w:rPr>
                <w:sz w:val="24"/>
              </w:rPr>
              <w:t xml:space="preserve">Проведение ежегодного мониторинга деятельности хозяйствующих субъектов, доля участия муниципального образования в которых составляет 50 и более процентов, предусматривающего формирование реестра указанных хозяйствующих субъектов, осуществляющих деятельность на территории Мурманской области (за исключением предприятий, осуществляющих деятельность в сферах, связанных с обеспечением обороны и безопасности государства, а также включенных в перечень стратегических предприятий), с обозначением товарного рынка их присутствия, на котором осуществляется такая деятельность, а также с указанием доли занимаемого товарного рынка каждого такого хозяйствующего субъекта (в том числе объема (доли) выручки в общей величине стоимостного оборота товарного рынка, объема (доли) реализованных на товарном рынке товаров, работ, услуг в натуральном выражении, объема финансирования из бюджетов муниципальных образований)</w:t>
            </w:r>
          </w:p>
        </w:tc>
        <w:tc>
          <w:tcPr>
            <w:tcW w:w="4354" w:type="dxa"/>
          </w:tcPr>
          <w:p>
            <w:pPr>
              <w:pStyle w:val="0"/>
            </w:pPr>
            <w:r>
              <w:rPr>
                <w:sz w:val="24"/>
              </w:rPr>
              <w:t xml:space="preserve">Мониторинг проведен</w:t>
            </w:r>
          </w:p>
        </w:tc>
        <w:tc>
          <w:tcPr>
            <w:tcW w:w="1459" w:type="dxa"/>
          </w:tcPr>
          <w:p>
            <w:pPr>
              <w:pStyle w:val="0"/>
              <w:jc w:val="center"/>
            </w:pPr>
            <w:r>
              <w:rPr>
                <w:sz w:val="24"/>
              </w:rPr>
              <w:t xml:space="preserve">10</w:t>
            </w:r>
          </w:p>
        </w:tc>
      </w:tr>
      <w:tr>
        <w:tc>
          <w:tcPr>
            <w:vMerge w:val="continue"/>
          </w:tcPr>
          <w:p/>
        </w:tc>
        <w:tc>
          <w:tcPr>
            <w:vMerge w:val="continue"/>
          </w:tcPr>
          <w:p/>
        </w:tc>
        <w:tc>
          <w:tcPr>
            <w:tcW w:w="4354" w:type="dxa"/>
          </w:tcPr>
          <w:p>
            <w:pPr>
              <w:pStyle w:val="0"/>
            </w:pPr>
            <w:r>
              <w:rPr>
                <w:sz w:val="24"/>
              </w:rPr>
              <w:t xml:space="preserve">Мониторинг не проведен</w:t>
            </w:r>
          </w:p>
        </w:tc>
        <w:tc>
          <w:tcPr>
            <w:tcW w:w="1459" w:type="dxa"/>
          </w:tcPr>
          <w:p>
            <w:pPr>
              <w:pStyle w:val="0"/>
              <w:jc w:val="center"/>
            </w:pPr>
            <w:r>
              <w:rPr>
                <w:sz w:val="24"/>
              </w:rPr>
              <w:t xml:space="preserve">-5</w:t>
            </w:r>
          </w:p>
        </w:tc>
      </w:tr>
      <w:tr>
        <w:tc>
          <w:tcPr>
            <w:tcW w:w="454" w:type="dxa"/>
            <w:vMerge w:val="restart"/>
          </w:tcPr>
          <w:p>
            <w:pPr>
              <w:pStyle w:val="0"/>
              <w:jc w:val="center"/>
            </w:pPr>
            <w:r>
              <w:rPr>
                <w:sz w:val="24"/>
              </w:rPr>
              <w:t xml:space="preserve">9</w:t>
            </w:r>
          </w:p>
        </w:tc>
        <w:tc>
          <w:tcPr>
            <w:tcW w:w="4354" w:type="dxa"/>
            <w:vMerge w:val="restart"/>
          </w:tcPr>
          <w:p>
            <w:pPr>
              <w:pStyle w:val="0"/>
            </w:pPr>
            <w:r>
              <w:rPr>
                <w:sz w:val="24"/>
              </w:rPr>
              <w:t xml:space="preserve">Наличие утвержденного перечня рынков по содействию развитию конкуренции в муниципальном образовании</w:t>
            </w:r>
          </w:p>
        </w:tc>
        <w:tc>
          <w:tcPr>
            <w:tcW w:w="4354" w:type="dxa"/>
          </w:tcPr>
          <w:p>
            <w:pPr>
              <w:pStyle w:val="0"/>
            </w:pPr>
            <w:r>
              <w:rPr>
                <w:sz w:val="24"/>
              </w:rPr>
              <w:t xml:space="preserve">Наличие</w:t>
            </w:r>
          </w:p>
        </w:tc>
        <w:tc>
          <w:tcPr>
            <w:tcW w:w="1459" w:type="dxa"/>
          </w:tcPr>
          <w:p>
            <w:pPr>
              <w:pStyle w:val="0"/>
              <w:jc w:val="center"/>
            </w:pPr>
            <w:r>
              <w:rPr>
                <w:sz w:val="24"/>
              </w:rPr>
              <w:t xml:space="preserve">5</w:t>
            </w:r>
          </w:p>
        </w:tc>
      </w:tr>
      <w:tr>
        <w:tc>
          <w:tcPr>
            <w:vMerge w:val="continue"/>
          </w:tcPr>
          <w:p/>
        </w:tc>
        <w:tc>
          <w:tcPr>
            <w:vMerge w:val="continue"/>
          </w:tcPr>
          <w:p/>
        </w:tc>
        <w:tc>
          <w:tcPr>
            <w:tcW w:w="4354" w:type="dxa"/>
          </w:tcPr>
          <w:p>
            <w:pPr>
              <w:pStyle w:val="0"/>
            </w:pPr>
            <w:r>
              <w:rPr>
                <w:sz w:val="24"/>
              </w:rPr>
              <w:t xml:space="preserve">Отсутствие</w:t>
            </w:r>
          </w:p>
        </w:tc>
        <w:tc>
          <w:tcPr>
            <w:tcW w:w="1459" w:type="dxa"/>
          </w:tcPr>
          <w:p>
            <w:pPr>
              <w:pStyle w:val="0"/>
              <w:jc w:val="center"/>
            </w:pPr>
            <w:r>
              <w:rPr>
                <w:sz w:val="24"/>
              </w:rPr>
              <w:t xml:space="preserve">-5</w:t>
            </w:r>
          </w:p>
        </w:tc>
      </w:tr>
      <w:tr>
        <w:tc>
          <w:tcPr>
            <w:tcW w:w="454" w:type="dxa"/>
            <w:vMerge w:val="restart"/>
          </w:tcPr>
          <w:p>
            <w:pPr>
              <w:pStyle w:val="0"/>
              <w:jc w:val="center"/>
            </w:pPr>
            <w:r>
              <w:rPr>
                <w:sz w:val="24"/>
              </w:rPr>
              <w:t xml:space="preserve">10</w:t>
            </w:r>
          </w:p>
        </w:tc>
        <w:tc>
          <w:tcPr>
            <w:tcW w:w="4354" w:type="dxa"/>
            <w:vMerge w:val="restart"/>
          </w:tcPr>
          <w:p>
            <w:pPr>
              <w:pStyle w:val="0"/>
            </w:pPr>
            <w:r>
              <w:rPr>
                <w:sz w:val="24"/>
              </w:rPr>
              <w:t xml:space="preserve">Наличие утвержденного плана мероприятий ("дорожной карты") по содействию развитию конкуренции в муниципальном образовании на основе анализа результатов мониторинга состояния и развития конкуренции на товарных рынках в Мурманской области/муниципальном образовании/региональной "дорожной карты" (актуализация плана мероприятий ("дорожной карты") по содействию развитию конкуренции в муниципальном образовании осуществляется не реже одного раза в год)</w:t>
            </w:r>
          </w:p>
        </w:tc>
        <w:tc>
          <w:tcPr>
            <w:tcW w:w="4354" w:type="dxa"/>
          </w:tcPr>
          <w:p>
            <w:pPr>
              <w:pStyle w:val="0"/>
            </w:pPr>
            <w:r>
              <w:rPr>
                <w:sz w:val="24"/>
              </w:rPr>
              <w:t xml:space="preserve">Наличие</w:t>
            </w:r>
          </w:p>
        </w:tc>
        <w:tc>
          <w:tcPr>
            <w:tcW w:w="1459" w:type="dxa"/>
          </w:tcPr>
          <w:p>
            <w:pPr>
              <w:pStyle w:val="0"/>
              <w:jc w:val="center"/>
            </w:pPr>
            <w:r>
              <w:rPr>
                <w:sz w:val="24"/>
              </w:rPr>
              <w:t xml:space="preserve">5</w:t>
            </w:r>
          </w:p>
        </w:tc>
      </w:tr>
      <w:tr>
        <w:tc>
          <w:tcPr>
            <w:vMerge w:val="continue"/>
          </w:tcPr>
          <w:p/>
        </w:tc>
        <w:tc>
          <w:tcPr>
            <w:vMerge w:val="continue"/>
          </w:tcPr>
          <w:p/>
        </w:tc>
        <w:tc>
          <w:tcPr>
            <w:tcW w:w="4354" w:type="dxa"/>
          </w:tcPr>
          <w:p>
            <w:pPr>
              <w:pStyle w:val="0"/>
            </w:pPr>
            <w:r>
              <w:rPr>
                <w:sz w:val="24"/>
              </w:rPr>
              <w:t xml:space="preserve">Отсутствие</w:t>
            </w:r>
          </w:p>
        </w:tc>
        <w:tc>
          <w:tcPr>
            <w:tcW w:w="1459" w:type="dxa"/>
          </w:tcPr>
          <w:p>
            <w:pPr>
              <w:pStyle w:val="0"/>
              <w:jc w:val="center"/>
            </w:pPr>
            <w:r>
              <w:rPr>
                <w:sz w:val="24"/>
              </w:rPr>
              <w:t xml:space="preserve">-5</w:t>
            </w:r>
          </w:p>
        </w:tc>
      </w:tr>
      <w:tr>
        <w:tc>
          <w:tcPr>
            <w:tcW w:w="454" w:type="dxa"/>
            <w:vMerge w:val="restart"/>
          </w:tcPr>
          <w:p>
            <w:pPr>
              <w:pStyle w:val="0"/>
              <w:jc w:val="center"/>
            </w:pPr>
            <w:r>
              <w:rPr>
                <w:sz w:val="24"/>
              </w:rPr>
              <w:t xml:space="preserve">11</w:t>
            </w:r>
          </w:p>
        </w:tc>
        <w:tc>
          <w:tcPr>
            <w:tcW w:w="4354" w:type="dxa"/>
            <w:vMerge w:val="restart"/>
          </w:tcPr>
          <w:p>
            <w:pPr>
              <w:pStyle w:val="0"/>
            </w:pPr>
            <w:r>
              <w:rPr>
                <w:sz w:val="24"/>
              </w:rPr>
              <w:t xml:space="preserve">Наличие дополнительных мероприятий, направленных на развитие конкуренции, не предусмотренных региональным планом мероприятий ("дорожной картой") по содействию развитию конкуренции в муниципальном образовании (по товарным рынкам и системным мероприятиям)</w:t>
            </w:r>
          </w:p>
        </w:tc>
        <w:tc>
          <w:tcPr>
            <w:tcW w:w="4354" w:type="dxa"/>
          </w:tcPr>
          <w:p>
            <w:pPr>
              <w:pStyle w:val="0"/>
            </w:pPr>
            <w:r>
              <w:rPr>
                <w:sz w:val="24"/>
              </w:rPr>
              <w:t xml:space="preserve">Наличие</w:t>
            </w:r>
          </w:p>
        </w:tc>
        <w:tc>
          <w:tcPr>
            <w:tcW w:w="1459" w:type="dxa"/>
          </w:tcPr>
          <w:p>
            <w:pPr>
              <w:pStyle w:val="0"/>
              <w:jc w:val="center"/>
            </w:pPr>
            <w:r>
              <w:rPr>
                <w:sz w:val="24"/>
              </w:rPr>
              <w:t xml:space="preserve">по 0,5 за каждое мероприятие</w:t>
            </w:r>
          </w:p>
        </w:tc>
      </w:tr>
      <w:tr>
        <w:tc>
          <w:tcPr>
            <w:vMerge w:val="continue"/>
          </w:tcPr>
          <w:p/>
        </w:tc>
        <w:tc>
          <w:tcPr>
            <w:vMerge w:val="continue"/>
          </w:tcPr>
          <w:p/>
        </w:tc>
        <w:tc>
          <w:tcPr>
            <w:tcW w:w="4354" w:type="dxa"/>
          </w:tcPr>
          <w:p>
            <w:pPr>
              <w:pStyle w:val="0"/>
            </w:pPr>
            <w:r>
              <w:rPr>
                <w:sz w:val="24"/>
              </w:rPr>
              <w:t xml:space="preserve">Отсутствие</w:t>
            </w:r>
          </w:p>
        </w:tc>
        <w:tc>
          <w:tcPr>
            <w:tcW w:w="1459" w:type="dxa"/>
          </w:tcPr>
          <w:p>
            <w:pPr>
              <w:pStyle w:val="0"/>
              <w:jc w:val="center"/>
            </w:pPr>
            <w:r>
              <w:rPr>
                <w:sz w:val="24"/>
              </w:rPr>
              <w:t xml:space="preserve">0</w:t>
            </w:r>
          </w:p>
        </w:tc>
      </w:tr>
      <w:tr>
        <w:tc>
          <w:tcPr>
            <w:tcW w:w="454" w:type="dxa"/>
            <w:vMerge w:val="restart"/>
          </w:tcPr>
          <w:p>
            <w:pPr>
              <w:pStyle w:val="0"/>
              <w:jc w:val="center"/>
            </w:pPr>
            <w:r>
              <w:rPr>
                <w:sz w:val="24"/>
              </w:rPr>
              <w:t xml:space="preserve">12</w:t>
            </w:r>
          </w:p>
        </w:tc>
        <w:tc>
          <w:tcPr>
            <w:tcW w:w="4354" w:type="dxa"/>
            <w:vMerge w:val="restart"/>
          </w:tcPr>
          <w:p>
            <w:pPr>
              <w:pStyle w:val="0"/>
            </w:pPr>
            <w:r>
              <w:rPr>
                <w:sz w:val="24"/>
              </w:rPr>
              <w:t xml:space="preserve">Наличие в плане мероприятий ("дорожной карте") по содействию развитию конкуренции в муниципальном образовании исходной фактической информации (в том числе числовой) в отношении ситуации, сложившейся в каждой отрасли (сфере) экономики (на отдельных товарных рынках), и ее проблематики</w:t>
            </w:r>
          </w:p>
        </w:tc>
        <w:tc>
          <w:tcPr>
            <w:tcW w:w="4354" w:type="dxa"/>
          </w:tcPr>
          <w:p>
            <w:pPr>
              <w:pStyle w:val="0"/>
            </w:pPr>
            <w:r>
              <w:rPr>
                <w:sz w:val="24"/>
              </w:rPr>
              <w:t xml:space="preserve">Наличие</w:t>
            </w:r>
          </w:p>
        </w:tc>
        <w:tc>
          <w:tcPr>
            <w:tcW w:w="1459" w:type="dxa"/>
          </w:tcPr>
          <w:p>
            <w:pPr>
              <w:pStyle w:val="0"/>
              <w:jc w:val="center"/>
            </w:pPr>
            <w:r>
              <w:rPr>
                <w:sz w:val="24"/>
              </w:rPr>
              <w:t xml:space="preserve">по 0,5 за каждое мероприятие</w:t>
            </w:r>
          </w:p>
        </w:tc>
      </w:tr>
      <w:tr>
        <w:tc>
          <w:tcPr>
            <w:vMerge w:val="continue"/>
          </w:tcPr>
          <w:p/>
        </w:tc>
        <w:tc>
          <w:tcPr>
            <w:vMerge w:val="continue"/>
          </w:tcPr>
          <w:p/>
        </w:tc>
        <w:tc>
          <w:tcPr>
            <w:tcW w:w="4354" w:type="dxa"/>
          </w:tcPr>
          <w:p>
            <w:pPr>
              <w:pStyle w:val="0"/>
            </w:pPr>
            <w:r>
              <w:rPr>
                <w:sz w:val="24"/>
              </w:rPr>
              <w:t xml:space="preserve">Отсутствие</w:t>
            </w:r>
          </w:p>
        </w:tc>
        <w:tc>
          <w:tcPr>
            <w:tcW w:w="1459" w:type="dxa"/>
          </w:tcPr>
          <w:p>
            <w:pPr>
              <w:pStyle w:val="0"/>
              <w:jc w:val="center"/>
            </w:pPr>
            <w:r>
              <w:rPr>
                <w:sz w:val="24"/>
              </w:rPr>
              <w:t xml:space="preserve">0</w:t>
            </w:r>
          </w:p>
        </w:tc>
      </w:tr>
      <w:tr>
        <w:tc>
          <w:tcPr>
            <w:tcW w:w="454" w:type="dxa"/>
            <w:vMerge w:val="restart"/>
          </w:tcPr>
          <w:p>
            <w:pPr>
              <w:pStyle w:val="0"/>
              <w:jc w:val="center"/>
            </w:pPr>
            <w:r>
              <w:rPr>
                <w:sz w:val="24"/>
              </w:rPr>
              <w:t xml:space="preserve">13</w:t>
            </w:r>
          </w:p>
        </w:tc>
        <w:tc>
          <w:tcPr>
            <w:tcW w:w="4354" w:type="dxa"/>
            <w:vMerge w:val="restart"/>
          </w:tcPr>
          <w:p>
            <w:pPr>
              <w:pStyle w:val="0"/>
            </w:pPr>
            <w:r>
              <w:rPr>
                <w:sz w:val="24"/>
              </w:rPr>
              <w:t xml:space="preserve">Органом местного самоуправления проведен мониторинг оценки субъектами предпринимательской деятельности состояния и развития конкурентной среды на рынках товаров, работ и услуг муниципального образования</w:t>
            </w:r>
          </w:p>
        </w:tc>
        <w:tc>
          <w:tcPr>
            <w:tcW w:w="4354" w:type="dxa"/>
          </w:tcPr>
          <w:p>
            <w:pPr>
              <w:pStyle w:val="0"/>
            </w:pPr>
            <w:r>
              <w:rPr>
                <w:sz w:val="24"/>
              </w:rPr>
              <w:t xml:space="preserve">Наличие</w:t>
            </w:r>
          </w:p>
        </w:tc>
        <w:tc>
          <w:tcPr>
            <w:tcW w:w="1459" w:type="dxa"/>
          </w:tcPr>
          <w:p>
            <w:pPr>
              <w:pStyle w:val="0"/>
              <w:jc w:val="center"/>
            </w:pPr>
            <w:r>
              <w:rPr>
                <w:sz w:val="24"/>
              </w:rPr>
              <w:t xml:space="preserve">5</w:t>
            </w:r>
          </w:p>
        </w:tc>
      </w:tr>
      <w:tr>
        <w:tc>
          <w:tcPr>
            <w:vMerge w:val="continue"/>
          </w:tcPr>
          <w:p/>
        </w:tc>
        <w:tc>
          <w:tcPr>
            <w:vMerge w:val="continue"/>
          </w:tcPr>
          <w:p/>
        </w:tc>
        <w:tc>
          <w:tcPr>
            <w:tcW w:w="4354" w:type="dxa"/>
          </w:tcPr>
          <w:p>
            <w:pPr>
              <w:pStyle w:val="0"/>
            </w:pPr>
            <w:r>
              <w:rPr>
                <w:sz w:val="24"/>
              </w:rPr>
              <w:t xml:space="preserve">Развернутая детализация результатов мониторинга с указанием числовых значений</w:t>
            </w:r>
          </w:p>
        </w:tc>
        <w:tc>
          <w:tcPr>
            <w:tcW w:w="1459" w:type="dxa"/>
          </w:tcPr>
          <w:p>
            <w:pPr>
              <w:pStyle w:val="0"/>
              <w:jc w:val="center"/>
            </w:pPr>
            <w:r>
              <w:rPr>
                <w:sz w:val="24"/>
              </w:rPr>
              <w:t xml:space="preserve">2</w:t>
            </w:r>
          </w:p>
        </w:tc>
      </w:tr>
      <w:tr>
        <w:tc>
          <w:tcPr>
            <w:vMerge w:val="continue"/>
          </w:tcPr>
          <w:p/>
        </w:tc>
        <w:tc>
          <w:tcPr>
            <w:vMerge w:val="continue"/>
          </w:tcPr>
          <w:p/>
        </w:tc>
        <w:tc>
          <w:tcPr>
            <w:tcW w:w="4354" w:type="dxa"/>
          </w:tcPr>
          <w:p>
            <w:pPr>
              <w:pStyle w:val="0"/>
            </w:pPr>
            <w:r>
              <w:rPr>
                <w:sz w:val="24"/>
              </w:rPr>
              <w:t xml:space="preserve">Анализ информации в соответствии со стандартом развития конкуренции</w:t>
            </w:r>
          </w:p>
        </w:tc>
        <w:tc>
          <w:tcPr>
            <w:tcW w:w="1459" w:type="dxa"/>
          </w:tcPr>
          <w:p>
            <w:pPr>
              <w:pStyle w:val="0"/>
              <w:jc w:val="center"/>
            </w:pPr>
            <w:r>
              <w:rPr>
                <w:sz w:val="24"/>
              </w:rPr>
              <w:t xml:space="preserve">2</w:t>
            </w:r>
          </w:p>
        </w:tc>
      </w:tr>
      <w:tr>
        <w:tc>
          <w:tcPr>
            <w:vMerge w:val="continue"/>
          </w:tcPr>
          <w:p/>
        </w:tc>
        <w:tc>
          <w:tcPr>
            <w:vMerge w:val="continue"/>
          </w:tcPr>
          <w:p/>
        </w:tc>
        <w:tc>
          <w:tcPr>
            <w:tcW w:w="4354" w:type="dxa"/>
          </w:tcPr>
          <w:p>
            <w:pPr>
              <w:pStyle w:val="0"/>
            </w:pPr>
            <w:r>
              <w:rPr>
                <w:sz w:val="24"/>
              </w:rPr>
              <w:t xml:space="preserve">По результатам анализа органом местного самоуправления подготовлены предложения по мероприятиям, направленным на повышение уровня оценки субъектами предпринимательской деятельности состояния и развития конкурентной среды на рынках товаров, работ и услуг муниципального образования</w:t>
            </w:r>
          </w:p>
        </w:tc>
        <w:tc>
          <w:tcPr>
            <w:tcW w:w="1459" w:type="dxa"/>
          </w:tcPr>
          <w:p>
            <w:pPr>
              <w:pStyle w:val="0"/>
              <w:jc w:val="center"/>
            </w:pPr>
            <w:r>
              <w:rPr>
                <w:sz w:val="24"/>
              </w:rPr>
              <w:t xml:space="preserve">5</w:t>
            </w:r>
          </w:p>
        </w:tc>
      </w:tr>
      <w:tr>
        <w:tc>
          <w:tcPr>
            <w:vMerge w:val="continue"/>
          </w:tcPr>
          <w:p/>
        </w:tc>
        <w:tc>
          <w:tcPr>
            <w:vMerge w:val="continue"/>
          </w:tcPr>
          <w:p/>
        </w:tc>
        <w:tc>
          <w:tcPr>
            <w:tcW w:w="4354" w:type="dxa"/>
          </w:tcPr>
          <w:p>
            <w:pPr>
              <w:pStyle w:val="0"/>
            </w:pPr>
            <w:r>
              <w:rPr>
                <w:sz w:val="24"/>
              </w:rPr>
              <w:t xml:space="preserve">Отсутствие</w:t>
            </w:r>
          </w:p>
        </w:tc>
        <w:tc>
          <w:tcPr>
            <w:tcW w:w="1459" w:type="dxa"/>
          </w:tcPr>
          <w:p>
            <w:pPr>
              <w:pStyle w:val="0"/>
              <w:jc w:val="center"/>
            </w:pPr>
            <w:r>
              <w:rPr>
                <w:sz w:val="24"/>
              </w:rPr>
              <w:t xml:space="preserve">-5</w:t>
            </w:r>
          </w:p>
        </w:tc>
      </w:tr>
      <w:tr>
        <w:tc>
          <w:tcPr>
            <w:tcW w:w="454" w:type="dxa"/>
            <w:vMerge w:val="restart"/>
          </w:tcPr>
          <w:p>
            <w:pPr>
              <w:pStyle w:val="0"/>
              <w:jc w:val="center"/>
            </w:pPr>
            <w:r>
              <w:rPr>
                <w:sz w:val="24"/>
              </w:rPr>
              <w:t xml:space="preserve">14</w:t>
            </w:r>
          </w:p>
        </w:tc>
        <w:tc>
          <w:tcPr>
            <w:tcW w:w="4354" w:type="dxa"/>
            <w:vMerge w:val="restart"/>
          </w:tcPr>
          <w:p>
            <w:pPr>
              <w:pStyle w:val="0"/>
            </w:pPr>
            <w:r>
              <w:rPr>
                <w:sz w:val="24"/>
              </w:rPr>
              <w:t xml:space="preserve">Органом местного самоуправления проведен мониторинг удовлетворенности потребителей качеством и уровнем доступности товаров, работ и услуг, реализуемых на территории муниципального образования</w:t>
            </w:r>
          </w:p>
        </w:tc>
        <w:tc>
          <w:tcPr>
            <w:tcW w:w="4354" w:type="dxa"/>
          </w:tcPr>
          <w:p>
            <w:pPr>
              <w:pStyle w:val="0"/>
            </w:pPr>
            <w:r>
              <w:rPr>
                <w:sz w:val="24"/>
              </w:rPr>
              <w:t xml:space="preserve">Наличие</w:t>
            </w:r>
          </w:p>
        </w:tc>
        <w:tc>
          <w:tcPr>
            <w:tcW w:w="1459" w:type="dxa"/>
          </w:tcPr>
          <w:p>
            <w:pPr>
              <w:pStyle w:val="0"/>
              <w:jc w:val="center"/>
            </w:pPr>
            <w:r>
              <w:rPr>
                <w:sz w:val="24"/>
              </w:rPr>
              <w:t xml:space="preserve">5</w:t>
            </w:r>
          </w:p>
        </w:tc>
      </w:tr>
      <w:tr>
        <w:tc>
          <w:tcPr>
            <w:vMerge w:val="continue"/>
          </w:tcPr>
          <w:p/>
        </w:tc>
        <w:tc>
          <w:tcPr>
            <w:vMerge w:val="continue"/>
          </w:tcPr>
          <w:p/>
        </w:tc>
        <w:tc>
          <w:tcPr>
            <w:tcW w:w="4354" w:type="dxa"/>
          </w:tcPr>
          <w:p>
            <w:pPr>
              <w:pStyle w:val="0"/>
            </w:pPr>
            <w:r>
              <w:rPr>
                <w:sz w:val="24"/>
              </w:rPr>
              <w:t xml:space="preserve">Развернутая детализация результатов мониторинга с указанием числовых значений</w:t>
            </w:r>
          </w:p>
        </w:tc>
        <w:tc>
          <w:tcPr>
            <w:tcW w:w="1459" w:type="dxa"/>
          </w:tcPr>
          <w:p>
            <w:pPr>
              <w:pStyle w:val="0"/>
              <w:jc w:val="center"/>
            </w:pPr>
            <w:r>
              <w:rPr>
                <w:sz w:val="24"/>
              </w:rPr>
              <w:t xml:space="preserve">2</w:t>
            </w:r>
          </w:p>
        </w:tc>
      </w:tr>
      <w:tr>
        <w:tc>
          <w:tcPr>
            <w:vMerge w:val="continue"/>
          </w:tcPr>
          <w:p/>
        </w:tc>
        <w:tc>
          <w:tcPr>
            <w:vMerge w:val="continue"/>
          </w:tcPr>
          <w:p/>
        </w:tc>
        <w:tc>
          <w:tcPr>
            <w:tcW w:w="4354" w:type="dxa"/>
          </w:tcPr>
          <w:p>
            <w:pPr>
              <w:pStyle w:val="0"/>
            </w:pPr>
            <w:r>
              <w:rPr>
                <w:sz w:val="24"/>
              </w:rPr>
              <w:t xml:space="preserve">Анализ информации в соответствии со стандартом развития конкуренции</w:t>
            </w:r>
          </w:p>
        </w:tc>
        <w:tc>
          <w:tcPr>
            <w:tcW w:w="1459" w:type="dxa"/>
          </w:tcPr>
          <w:p>
            <w:pPr>
              <w:pStyle w:val="0"/>
              <w:jc w:val="center"/>
            </w:pPr>
            <w:r>
              <w:rPr>
                <w:sz w:val="24"/>
              </w:rPr>
              <w:t xml:space="preserve">2</w:t>
            </w:r>
          </w:p>
        </w:tc>
      </w:tr>
      <w:tr>
        <w:tc>
          <w:tcPr>
            <w:vMerge w:val="continue"/>
          </w:tcPr>
          <w:p/>
        </w:tc>
        <w:tc>
          <w:tcPr>
            <w:vMerge w:val="continue"/>
          </w:tcPr>
          <w:p/>
        </w:tc>
        <w:tc>
          <w:tcPr>
            <w:tcW w:w="4354" w:type="dxa"/>
          </w:tcPr>
          <w:p>
            <w:pPr>
              <w:pStyle w:val="0"/>
            </w:pPr>
            <w:r>
              <w:rPr>
                <w:sz w:val="24"/>
              </w:rPr>
              <w:t xml:space="preserve">По результатам анализа органом местного самоуправления подготовлены предложения по мероприятиям, направленным на повышение удовлетворенности потребителей качеством и уровнем доступности товаров, работ и услуг, реализуемых на территории муниципального образования</w:t>
            </w:r>
          </w:p>
        </w:tc>
        <w:tc>
          <w:tcPr>
            <w:tcW w:w="1459" w:type="dxa"/>
          </w:tcPr>
          <w:p>
            <w:pPr>
              <w:pStyle w:val="0"/>
              <w:jc w:val="center"/>
            </w:pPr>
            <w:r>
              <w:rPr>
                <w:sz w:val="24"/>
              </w:rPr>
              <w:t xml:space="preserve">5</w:t>
            </w:r>
          </w:p>
        </w:tc>
      </w:tr>
      <w:tr>
        <w:tc>
          <w:tcPr>
            <w:vMerge w:val="continue"/>
          </w:tcPr>
          <w:p/>
        </w:tc>
        <w:tc>
          <w:tcPr>
            <w:vMerge w:val="continue"/>
          </w:tcPr>
          <w:p/>
        </w:tc>
        <w:tc>
          <w:tcPr>
            <w:tcW w:w="4354" w:type="dxa"/>
          </w:tcPr>
          <w:p>
            <w:pPr>
              <w:pStyle w:val="0"/>
            </w:pPr>
            <w:r>
              <w:rPr>
                <w:sz w:val="24"/>
              </w:rPr>
              <w:t xml:space="preserve">Отсутствие</w:t>
            </w:r>
          </w:p>
        </w:tc>
        <w:tc>
          <w:tcPr>
            <w:tcW w:w="1459" w:type="dxa"/>
          </w:tcPr>
          <w:p>
            <w:pPr>
              <w:pStyle w:val="0"/>
              <w:jc w:val="center"/>
            </w:pPr>
            <w:r>
              <w:rPr>
                <w:sz w:val="24"/>
              </w:rPr>
              <w:t xml:space="preserve">-5</w:t>
            </w:r>
          </w:p>
        </w:tc>
      </w:tr>
      <w:tr>
        <w:tc>
          <w:tcPr>
            <w:tcW w:w="454" w:type="dxa"/>
            <w:vMerge w:val="restart"/>
          </w:tcPr>
          <w:p>
            <w:pPr>
              <w:pStyle w:val="0"/>
              <w:jc w:val="center"/>
            </w:pPr>
            <w:r>
              <w:rPr>
                <w:sz w:val="24"/>
              </w:rPr>
              <w:t xml:space="preserve">15</w:t>
            </w:r>
          </w:p>
        </w:tc>
        <w:tc>
          <w:tcPr>
            <w:tcW w:w="4354" w:type="dxa"/>
            <w:vMerge w:val="restart"/>
          </w:tcPr>
          <w:p>
            <w:pPr>
              <w:pStyle w:val="0"/>
            </w:pPr>
            <w:r>
              <w:rPr>
                <w:sz w:val="24"/>
              </w:rPr>
              <w:t xml:space="preserve">Достижение годовых значений целевых показателей на рынках по содействию развитию конкуренции в муниципальном образовании</w:t>
            </w:r>
          </w:p>
        </w:tc>
        <w:tc>
          <w:tcPr>
            <w:tcW w:w="4354" w:type="dxa"/>
          </w:tcPr>
          <w:p>
            <w:pPr>
              <w:pStyle w:val="0"/>
            </w:pPr>
            <w:r>
              <w:rPr>
                <w:sz w:val="24"/>
              </w:rPr>
              <w:t xml:space="preserve">Достигнуты годовые значения целевых показателей</w:t>
            </w:r>
          </w:p>
        </w:tc>
        <w:tc>
          <w:tcPr>
            <w:tcW w:w="1459" w:type="dxa"/>
          </w:tcPr>
          <w:p>
            <w:pPr>
              <w:pStyle w:val="0"/>
              <w:jc w:val="center"/>
            </w:pPr>
            <w:r>
              <w:rPr>
                <w:sz w:val="24"/>
              </w:rPr>
              <w:t xml:space="preserve">1 (за каждый показатель)</w:t>
            </w:r>
          </w:p>
        </w:tc>
      </w:tr>
      <w:tr>
        <w:tc>
          <w:tcPr>
            <w:vMerge w:val="continue"/>
          </w:tcPr>
          <w:p/>
        </w:tc>
        <w:tc>
          <w:tcPr>
            <w:vMerge w:val="continue"/>
          </w:tcPr>
          <w:p/>
        </w:tc>
        <w:tc>
          <w:tcPr>
            <w:tcW w:w="4354" w:type="dxa"/>
          </w:tcPr>
          <w:p>
            <w:pPr>
              <w:pStyle w:val="0"/>
            </w:pPr>
            <w:r>
              <w:rPr>
                <w:sz w:val="24"/>
              </w:rPr>
              <w:t xml:space="preserve">Не достигнуты годовые значения целевых показателей</w:t>
            </w:r>
          </w:p>
        </w:tc>
        <w:tc>
          <w:tcPr>
            <w:tcW w:w="1459" w:type="dxa"/>
          </w:tcPr>
          <w:p>
            <w:pPr>
              <w:pStyle w:val="0"/>
              <w:jc w:val="center"/>
            </w:pPr>
            <w:r>
              <w:rPr>
                <w:sz w:val="24"/>
              </w:rPr>
              <w:t xml:space="preserve">-1 (за каждый показатель)</w:t>
            </w:r>
          </w:p>
        </w:tc>
      </w:tr>
      <w:tr>
        <w:tc>
          <w:tcPr>
            <w:vMerge w:val="continue"/>
          </w:tcPr>
          <w:p/>
        </w:tc>
        <w:tc>
          <w:tcPr>
            <w:vMerge w:val="continue"/>
          </w:tcPr>
          <w:p/>
        </w:tc>
        <w:tc>
          <w:tcPr>
            <w:tcW w:w="4354" w:type="dxa"/>
          </w:tcPr>
          <w:p>
            <w:pPr>
              <w:pStyle w:val="0"/>
            </w:pPr>
            <w:r>
              <w:rPr>
                <w:sz w:val="24"/>
              </w:rPr>
              <w:t xml:space="preserve">Отсутствие показателей</w:t>
            </w:r>
          </w:p>
        </w:tc>
        <w:tc>
          <w:tcPr>
            <w:tcW w:w="1459" w:type="dxa"/>
          </w:tcPr>
          <w:p>
            <w:pPr>
              <w:pStyle w:val="0"/>
              <w:jc w:val="center"/>
            </w:pPr>
            <w:r>
              <w:rPr>
                <w:sz w:val="24"/>
              </w:rPr>
              <w:t xml:space="preserve">-5</w:t>
            </w:r>
          </w:p>
        </w:tc>
      </w:tr>
      <w:tr>
        <w:tc>
          <w:tcPr>
            <w:tcW w:w="454" w:type="dxa"/>
            <w:vMerge w:val="restart"/>
          </w:tcPr>
          <w:p>
            <w:pPr>
              <w:pStyle w:val="0"/>
              <w:jc w:val="center"/>
            </w:pPr>
            <w:r>
              <w:rPr>
                <w:sz w:val="24"/>
              </w:rPr>
              <w:t xml:space="preserve">16</w:t>
            </w:r>
          </w:p>
        </w:tc>
        <w:tc>
          <w:tcPr>
            <w:tcW w:w="4354" w:type="dxa"/>
            <w:vMerge w:val="restart"/>
          </w:tcPr>
          <w:p>
            <w:pPr>
              <w:pStyle w:val="0"/>
            </w:pPr>
            <w:r>
              <w:rPr>
                <w:sz w:val="24"/>
              </w:rPr>
              <w:t xml:space="preserve">Наличие размещенного доклада о результатах внедрения стандарта развития конкуренции на территории муниципального образования до 1 февраля года, следующего за отчетным, на официальном сайте муниципального образования</w:t>
            </w:r>
          </w:p>
        </w:tc>
        <w:tc>
          <w:tcPr>
            <w:tcW w:w="4354" w:type="dxa"/>
          </w:tcPr>
          <w:p>
            <w:pPr>
              <w:pStyle w:val="0"/>
            </w:pPr>
            <w:r>
              <w:rPr>
                <w:sz w:val="24"/>
              </w:rPr>
              <w:t xml:space="preserve">Наличие</w:t>
            </w:r>
          </w:p>
        </w:tc>
        <w:tc>
          <w:tcPr>
            <w:tcW w:w="1459" w:type="dxa"/>
          </w:tcPr>
          <w:p>
            <w:pPr>
              <w:pStyle w:val="0"/>
              <w:jc w:val="center"/>
            </w:pPr>
            <w:r>
              <w:rPr>
                <w:sz w:val="24"/>
              </w:rPr>
              <w:t xml:space="preserve">5</w:t>
            </w:r>
          </w:p>
        </w:tc>
      </w:tr>
      <w:tr>
        <w:tc>
          <w:tcPr>
            <w:vMerge w:val="continue"/>
          </w:tcPr>
          <w:p/>
        </w:tc>
        <w:tc>
          <w:tcPr>
            <w:vMerge w:val="continue"/>
          </w:tcPr>
          <w:p/>
        </w:tc>
        <w:tc>
          <w:tcPr>
            <w:tcW w:w="4354" w:type="dxa"/>
          </w:tcPr>
          <w:p>
            <w:pPr>
              <w:pStyle w:val="0"/>
            </w:pPr>
            <w:r>
              <w:rPr>
                <w:sz w:val="24"/>
              </w:rPr>
              <w:t xml:space="preserve">Отсутствие</w:t>
            </w:r>
          </w:p>
        </w:tc>
        <w:tc>
          <w:tcPr>
            <w:tcW w:w="1459" w:type="dxa"/>
          </w:tcPr>
          <w:p>
            <w:pPr>
              <w:pStyle w:val="0"/>
              <w:jc w:val="center"/>
            </w:pPr>
            <w:r>
              <w:rPr>
                <w:sz w:val="24"/>
              </w:rPr>
              <w:t xml:space="preserve">0</w:t>
            </w:r>
          </w:p>
        </w:tc>
      </w:tr>
      <w:tr>
        <w:tc>
          <w:tcPr>
            <w:tcW w:w="454" w:type="dxa"/>
            <w:tcBorders>
              <w:bottom w:val="nil"/>
            </w:tcBorders>
            <w:vMerge w:val="restart"/>
          </w:tcPr>
          <w:p>
            <w:pPr>
              <w:pStyle w:val="0"/>
              <w:jc w:val="center"/>
            </w:pPr>
            <w:r>
              <w:rPr>
                <w:sz w:val="24"/>
              </w:rPr>
              <w:t xml:space="preserve">17</w:t>
            </w:r>
          </w:p>
        </w:tc>
        <w:tc>
          <w:tcPr>
            <w:tcW w:w="4354" w:type="dxa"/>
            <w:tcBorders>
              <w:bottom w:val="nil"/>
            </w:tcBorders>
            <w:vMerge w:val="restart"/>
          </w:tcPr>
          <w:p>
            <w:pPr>
              <w:pStyle w:val="0"/>
            </w:pPr>
            <w:r>
              <w:rPr>
                <w:sz w:val="24"/>
              </w:rPr>
              <w:t xml:space="preserve">Наличие потенциальной лучшей муниципальной практики содействия развитию конкуренции</w:t>
            </w:r>
          </w:p>
        </w:tc>
        <w:tc>
          <w:tcPr>
            <w:tcW w:w="4354" w:type="dxa"/>
          </w:tcPr>
          <w:p>
            <w:pPr>
              <w:pStyle w:val="0"/>
            </w:pPr>
            <w:r>
              <w:rPr>
                <w:sz w:val="24"/>
              </w:rPr>
              <w:t xml:space="preserve">Наличие</w:t>
            </w:r>
          </w:p>
        </w:tc>
        <w:tc>
          <w:tcPr>
            <w:tcW w:w="1459" w:type="dxa"/>
          </w:tcPr>
          <w:p>
            <w:pPr>
              <w:pStyle w:val="0"/>
              <w:jc w:val="center"/>
            </w:pPr>
            <w:r>
              <w:rPr>
                <w:sz w:val="24"/>
              </w:rPr>
              <w:t xml:space="preserve">5 (за каждую практику)</w:t>
            </w:r>
          </w:p>
        </w:tc>
      </w:tr>
      <w:tr>
        <w:tblPrEx>
          <w:tblBorders>
            <w:insideH w:val="nil"/>
          </w:tblBorders>
        </w:tblPrEx>
        <w:tc>
          <w:tcPr>
            <w:tcBorders>
              <w:bottom w:val="nil"/>
            </w:tcBorders>
            <w:vMerge w:val="continue"/>
          </w:tcPr>
          <w:p/>
        </w:tc>
        <w:tc>
          <w:tcPr>
            <w:tcBorders>
              <w:bottom w:val="nil"/>
            </w:tcBorders>
            <w:vMerge w:val="continue"/>
          </w:tcPr>
          <w:p/>
        </w:tc>
        <w:tc>
          <w:tcPr>
            <w:tcW w:w="4354" w:type="dxa"/>
            <w:tcBorders>
              <w:bottom w:val="nil"/>
            </w:tcBorders>
          </w:tcPr>
          <w:p>
            <w:pPr>
              <w:pStyle w:val="0"/>
            </w:pPr>
            <w:r>
              <w:rPr>
                <w:sz w:val="24"/>
              </w:rPr>
              <w:t xml:space="preserve">Отсутствие</w:t>
            </w:r>
          </w:p>
        </w:tc>
        <w:tc>
          <w:tcPr>
            <w:tcW w:w="1459" w:type="dxa"/>
            <w:tcBorders>
              <w:bottom w:val="nil"/>
            </w:tcBorders>
          </w:tcPr>
          <w:p>
            <w:pPr>
              <w:pStyle w:val="0"/>
              <w:jc w:val="center"/>
            </w:pPr>
            <w:r>
              <w:rPr>
                <w:sz w:val="24"/>
              </w:rPr>
              <w:t xml:space="preserve">0</w:t>
            </w:r>
          </w:p>
        </w:tc>
      </w:tr>
      <w:tr>
        <w:tblPrEx>
          <w:tblBorders>
            <w:insideH w:val="nil"/>
          </w:tblBorders>
        </w:tblPrEx>
        <w:tc>
          <w:tcPr>
            <w:gridSpan w:val="4"/>
            <w:tcW w:w="10621" w:type="dxa"/>
            <w:tcBorders>
              <w:top w:val="nil"/>
            </w:tcBorders>
          </w:tcPr>
          <w:p>
            <w:pPr>
              <w:pStyle w:val="0"/>
              <w:jc w:val="both"/>
            </w:pPr>
            <w:r>
              <w:rPr>
                <w:sz w:val="24"/>
              </w:rPr>
              <w:t xml:space="preserve">в ред. </w:t>
            </w:r>
            <w:hyperlink w:history="0" r:id="rId24" w:tooltip="Постановление Правительства Мурманской области от 26.03.2026 N 151-ПП &quot;О внесении изменений в некоторые постановления Правительства Мурманской области&quot; {КонсультантПлюс}">
              <w:r>
                <w:rPr>
                  <w:sz w:val="24"/>
                  <w:color w:val="0000ff"/>
                </w:rPr>
                <w:t xml:space="preserve">Постановления</w:t>
              </w:r>
            </w:hyperlink>
            <w:r>
              <w:rPr>
                <w:sz w:val="24"/>
              </w:rPr>
              <w:t xml:space="preserve"> Правительства Мурманской области от 26.03.2026 N 151-ПП</w:t>
            </w:r>
          </w:p>
        </w:tc>
      </w:tr>
      <w:tr>
        <w:tc>
          <w:tcPr>
            <w:tcW w:w="454" w:type="dxa"/>
            <w:vMerge w:val="restart"/>
          </w:tcPr>
          <w:p>
            <w:pPr>
              <w:pStyle w:val="0"/>
              <w:jc w:val="center"/>
            </w:pPr>
            <w:r>
              <w:rPr>
                <w:sz w:val="24"/>
              </w:rPr>
              <w:t xml:space="preserve">18</w:t>
            </w:r>
          </w:p>
        </w:tc>
        <w:tc>
          <w:tcPr>
            <w:tcW w:w="4354" w:type="dxa"/>
            <w:vMerge w:val="restart"/>
          </w:tcPr>
          <w:p>
            <w:pPr>
              <w:pStyle w:val="0"/>
            </w:pPr>
            <w:r>
              <w:rPr>
                <w:sz w:val="24"/>
              </w:rPr>
              <w:t xml:space="preserve">Наличие на официальном сайте муниципального образования актуализированного информативного раздела, посвященного вопросам антимонопольного комплаенса</w:t>
            </w:r>
          </w:p>
        </w:tc>
        <w:tc>
          <w:tcPr>
            <w:tcW w:w="4354" w:type="dxa"/>
          </w:tcPr>
          <w:p>
            <w:pPr>
              <w:pStyle w:val="0"/>
            </w:pPr>
            <w:r>
              <w:rPr>
                <w:sz w:val="24"/>
              </w:rPr>
              <w:t xml:space="preserve">Наличие</w:t>
            </w:r>
          </w:p>
        </w:tc>
        <w:tc>
          <w:tcPr>
            <w:tcW w:w="1459" w:type="dxa"/>
          </w:tcPr>
          <w:p>
            <w:pPr>
              <w:pStyle w:val="0"/>
              <w:jc w:val="center"/>
            </w:pPr>
            <w:r>
              <w:rPr>
                <w:sz w:val="24"/>
              </w:rPr>
              <w:t xml:space="preserve">3</w:t>
            </w:r>
          </w:p>
        </w:tc>
      </w:tr>
      <w:tr>
        <w:tc>
          <w:tcPr>
            <w:vMerge w:val="continue"/>
          </w:tcPr>
          <w:p/>
        </w:tc>
        <w:tc>
          <w:tcPr>
            <w:vMerge w:val="continue"/>
          </w:tcPr>
          <w:p/>
        </w:tc>
        <w:tc>
          <w:tcPr>
            <w:tcW w:w="4354" w:type="dxa"/>
          </w:tcPr>
          <w:p>
            <w:pPr>
              <w:pStyle w:val="0"/>
            </w:pPr>
            <w:r>
              <w:rPr>
                <w:sz w:val="24"/>
              </w:rPr>
              <w:t xml:space="preserve">Отсутствие</w:t>
            </w:r>
          </w:p>
        </w:tc>
        <w:tc>
          <w:tcPr>
            <w:tcW w:w="1459" w:type="dxa"/>
          </w:tcPr>
          <w:p>
            <w:pPr>
              <w:pStyle w:val="0"/>
              <w:jc w:val="center"/>
            </w:pPr>
            <w:r>
              <w:rPr>
                <w:sz w:val="24"/>
              </w:rPr>
              <w:t xml:space="preserve">0</w:t>
            </w:r>
          </w:p>
        </w:tc>
      </w:tr>
      <w:tr>
        <w:tc>
          <w:tcPr>
            <w:tcW w:w="454" w:type="dxa"/>
            <w:vMerge w:val="restart"/>
          </w:tcPr>
          <w:p>
            <w:pPr>
              <w:pStyle w:val="0"/>
              <w:jc w:val="center"/>
            </w:pPr>
            <w:r>
              <w:rPr>
                <w:sz w:val="24"/>
              </w:rPr>
              <w:t xml:space="preserve">19</w:t>
            </w:r>
          </w:p>
        </w:tc>
        <w:tc>
          <w:tcPr>
            <w:tcW w:w="4354" w:type="dxa"/>
            <w:vMerge w:val="restart"/>
          </w:tcPr>
          <w:p>
            <w:pPr>
              <w:pStyle w:val="0"/>
            </w:pPr>
            <w:r>
              <w:rPr>
                <w:sz w:val="24"/>
              </w:rPr>
              <w:t xml:space="preserve">Наличие на официальном сайте муниципального образования перечня имеющих риск нарушения антимонопольного законодательства правовых актов (проектов правовых актов), разработчиком которых является муниципальное образование, за исключением актов, содержащих сведения, относящиеся к охраняемой законом тайне, а также размещение на официальном сайте муниципального образования уведомления о начале сбора замечаний и предложений организаций и граждан по перечню имеющих риск нарушения антимонопольного законодательства правовых актов (проектов правовых актов)</w:t>
            </w:r>
          </w:p>
        </w:tc>
        <w:tc>
          <w:tcPr>
            <w:tcW w:w="4354" w:type="dxa"/>
          </w:tcPr>
          <w:p>
            <w:pPr>
              <w:pStyle w:val="0"/>
            </w:pPr>
            <w:r>
              <w:rPr>
                <w:sz w:val="24"/>
              </w:rPr>
              <w:t xml:space="preserve">Наличие</w:t>
            </w:r>
          </w:p>
        </w:tc>
        <w:tc>
          <w:tcPr>
            <w:tcW w:w="1459" w:type="dxa"/>
          </w:tcPr>
          <w:p>
            <w:pPr>
              <w:pStyle w:val="0"/>
              <w:jc w:val="center"/>
            </w:pPr>
            <w:r>
              <w:rPr>
                <w:sz w:val="24"/>
              </w:rPr>
              <w:t xml:space="preserve">3</w:t>
            </w:r>
          </w:p>
        </w:tc>
      </w:tr>
      <w:tr>
        <w:tc>
          <w:tcPr>
            <w:vMerge w:val="continue"/>
          </w:tcPr>
          <w:p/>
        </w:tc>
        <w:tc>
          <w:tcPr>
            <w:vMerge w:val="continue"/>
          </w:tcPr>
          <w:p/>
        </w:tc>
        <w:tc>
          <w:tcPr>
            <w:tcW w:w="4354" w:type="dxa"/>
          </w:tcPr>
          <w:p>
            <w:pPr>
              <w:pStyle w:val="0"/>
            </w:pPr>
            <w:r>
              <w:rPr>
                <w:sz w:val="24"/>
              </w:rPr>
              <w:t xml:space="preserve">Отсутствие</w:t>
            </w:r>
          </w:p>
        </w:tc>
        <w:tc>
          <w:tcPr>
            <w:tcW w:w="1459" w:type="dxa"/>
          </w:tcPr>
          <w:p>
            <w:pPr>
              <w:pStyle w:val="0"/>
              <w:jc w:val="center"/>
            </w:pPr>
            <w:r>
              <w:rPr>
                <w:sz w:val="24"/>
              </w:rPr>
              <w:t xml:space="preserve">0</w:t>
            </w:r>
          </w:p>
        </w:tc>
      </w:tr>
      <w:tr>
        <w:tc>
          <w:tcPr>
            <w:tcW w:w="454" w:type="dxa"/>
            <w:vMerge w:val="restart"/>
          </w:tcPr>
          <w:p>
            <w:pPr>
              <w:pStyle w:val="0"/>
              <w:jc w:val="center"/>
            </w:pPr>
            <w:r>
              <w:rPr>
                <w:sz w:val="24"/>
              </w:rPr>
              <w:t xml:space="preserve">20</w:t>
            </w:r>
          </w:p>
        </w:tc>
        <w:tc>
          <w:tcPr>
            <w:tcW w:w="4354" w:type="dxa"/>
            <w:vMerge w:val="restart"/>
          </w:tcPr>
          <w:p>
            <w:pPr>
              <w:pStyle w:val="0"/>
            </w:pPr>
            <w:r>
              <w:rPr>
                <w:sz w:val="24"/>
              </w:rPr>
              <w:t xml:space="preserve">Наличие утвержденного доклада об антимонопольном комплаенсе в деятельности органа местного самоуправления до 1 февраля года, следующего за отчетным</w:t>
            </w:r>
          </w:p>
        </w:tc>
        <w:tc>
          <w:tcPr>
            <w:tcW w:w="4354" w:type="dxa"/>
          </w:tcPr>
          <w:p>
            <w:pPr>
              <w:pStyle w:val="0"/>
            </w:pPr>
            <w:r>
              <w:rPr>
                <w:sz w:val="24"/>
              </w:rPr>
              <w:t xml:space="preserve">Наличие</w:t>
            </w:r>
          </w:p>
        </w:tc>
        <w:tc>
          <w:tcPr>
            <w:tcW w:w="1459" w:type="dxa"/>
          </w:tcPr>
          <w:p>
            <w:pPr>
              <w:pStyle w:val="0"/>
              <w:jc w:val="center"/>
            </w:pPr>
            <w:r>
              <w:rPr>
                <w:sz w:val="24"/>
              </w:rPr>
              <w:t xml:space="preserve">5</w:t>
            </w:r>
          </w:p>
        </w:tc>
      </w:tr>
      <w:tr>
        <w:tc>
          <w:tcPr>
            <w:vMerge w:val="continue"/>
          </w:tcPr>
          <w:p/>
        </w:tc>
        <w:tc>
          <w:tcPr>
            <w:vMerge w:val="continue"/>
          </w:tcPr>
          <w:p/>
        </w:tc>
        <w:tc>
          <w:tcPr>
            <w:tcW w:w="4354" w:type="dxa"/>
          </w:tcPr>
          <w:p>
            <w:pPr>
              <w:pStyle w:val="0"/>
            </w:pPr>
            <w:r>
              <w:rPr>
                <w:sz w:val="24"/>
              </w:rPr>
              <w:t xml:space="preserve">Отсутствие</w:t>
            </w:r>
          </w:p>
        </w:tc>
        <w:tc>
          <w:tcPr>
            <w:tcW w:w="1459" w:type="dxa"/>
          </w:tcPr>
          <w:p>
            <w:pPr>
              <w:pStyle w:val="0"/>
              <w:jc w:val="center"/>
            </w:pPr>
            <w:r>
              <w:rPr>
                <w:sz w:val="24"/>
              </w:rPr>
              <w:t xml:space="preserve">-5</w:t>
            </w:r>
          </w:p>
        </w:tc>
      </w:tr>
      <w:tr>
        <w:tc>
          <w:tcPr>
            <w:tcW w:w="454" w:type="dxa"/>
            <w:vMerge w:val="restart"/>
          </w:tcPr>
          <w:p>
            <w:pPr>
              <w:pStyle w:val="0"/>
              <w:jc w:val="center"/>
            </w:pPr>
            <w:r>
              <w:rPr>
                <w:sz w:val="24"/>
              </w:rPr>
              <w:t xml:space="preserve">21</w:t>
            </w:r>
          </w:p>
        </w:tc>
        <w:tc>
          <w:tcPr>
            <w:tcW w:w="4354" w:type="dxa"/>
            <w:vMerge w:val="restart"/>
          </w:tcPr>
          <w:p>
            <w:pPr>
              <w:pStyle w:val="0"/>
            </w:pPr>
            <w:r>
              <w:rPr>
                <w:sz w:val="24"/>
              </w:rPr>
              <w:t xml:space="preserve">Снижение количества нарушений антимонопольного законодательства со стороны муниципального образования по сравнению с аналогичным периодом года, предшествующего отчетному</w:t>
            </w:r>
          </w:p>
        </w:tc>
        <w:tc>
          <w:tcPr>
            <w:tcW w:w="4354" w:type="dxa"/>
          </w:tcPr>
          <w:p>
            <w:pPr>
              <w:pStyle w:val="0"/>
            </w:pPr>
            <w:r>
              <w:rPr>
                <w:sz w:val="24"/>
              </w:rPr>
              <w:t xml:space="preserve">Количество нарушений снизилось либо отсутствует</w:t>
            </w:r>
          </w:p>
        </w:tc>
        <w:tc>
          <w:tcPr>
            <w:tcW w:w="1459" w:type="dxa"/>
          </w:tcPr>
          <w:p>
            <w:pPr>
              <w:pStyle w:val="0"/>
              <w:jc w:val="center"/>
            </w:pPr>
            <w:r>
              <w:rPr>
                <w:sz w:val="24"/>
              </w:rPr>
              <w:t xml:space="preserve">5</w:t>
            </w:r>
          </w:p>
        </w:tc>
      </w:tr>
      <w:tr>
        <w:tc>
          <w:tcPr>
            <w:vMerge w:val="continue"/>
          </w:tcPr>
          <w:p/>
        </w:tc>
        <w:tc>
          <w:tcPr>
            <w:vMerge w:val="continue"/>
          </w:tcPr>
          <w:p/>
        </w:tc>
        <w:tc>
          <w:tcPr>
            <w:tcW w:w="4354" w:type="dxa"/>
          </w:tcPr>
          <w:p>
            <w:pPr>
              <w:pStyle w:val="0"/>
            </w:pPr>
            <w:r>
              <w:rPr>
                <w:sz w:val="24"/>
              </w:rPr>
              <w:t xml:space="preserve">Количество нарушений не изменилось</w:t>
            </w:r>
          </w:p>
        </w:tc>
        <w:tc>
          <w:tcPr>
            <w:tcW w:w="1459" w:type="dxa"/>
          </w:tcPr>
          <w:p>
            <w:pPr>
              <w:pStyle w:val="0"/>
              <w:jc w:val="center"/>
            </w:pPr>
            <w:r>
              <w:rPr>
                <w:sz w:val="24"/>
              </w:rPr>
              <w:t xml:space="preserve">0</w:t>
            </w:r>
          </w:p>
        </w:tc>
      </w:tr>
      <w:tr>
        <w:tc>
          <w:tcPr>
            <w:vMerge w:val="continue"/>
          </w:tcPr>
          <w:p/>
        </w:tc>
        <w:tc>
          <w:tcPr>
            <w:vMerge w:val="continue"/>
          </w:tcPr>
          <w:p/>
        </w:tc>
        <w:tc>
          <w:tcPr>
            <w:tcW w:w="4354" w:type="dxa"/>
          </w:tcPr>
          <w:p>
            <w:pPr>
              <w:pStyle w:val="0"/>
            </w:pPr>
            <w:r>
              <w:rPr>
                <w:sz w:val="24"/>
              </w:rPr>
              <w:t xml:space="preserve">Количество нарушений увеличилось</w:t>
            </w:r>
          </w:p>
        </w:tc>
        <w:tc>
          <w:tcPr>
            <w:tcW w:w="1459" w:type="dxa"/>
          </w:tcPr>
          <w:p>
            <w:pPr>
              <w:pStyle w:val="0"/>
              <w:jc w:val="center"/>
            </w:pPr>
            <w:r>
              <w:rPr>
                <w:sz w:val="24"/>
              </w:rPr>
              <w:t xml:space="preserve">-5</w:t>
            </w:r>
          </w:p>
        </w:tc>
      </w:tr>
      <w:tr>
        <w:tc>
          <w:tcPr>
            <w:tcW w:w="454" w:type="dxa"/>
            <w:vMerge w:val="restart"/>
          </w:tcPr>
          <w:p>
            <w:pPr>
              <w:pStyle w:val="0"/>
              <w:jc w:val="center"/>
            </w:pPr>
            <w:r>
              <w:rPr>
                <w:sz w:val="24"/>
              </w:rPr>
              <w:t xml:space="preserve">22</w:t>
            </w:r>
          </w:p>
        </w:tc>
        <w:tc>
          <w:tcPr>
            <w:tcW w:w="4354" w:type="dxa"/>
            <w:vMerge w:val="restart"/>
          </w:tcPr>
          <w:p>
            <w:pPr>
              <w:pStyle w:val="0"/>
            </w:pPr>
            <w:r>
              <w:rPr>
                <w:sz w:val="24"/>
              </w:rPr>
              <w:t xml:space="preserve">Доля закупок товаров, работ, услуг у субъектов малого предпринимательства и социально ориентированных некоммерческих организаций, рассчитанная с учетом требований </w:t>
            </w:r>
            <w:hyperlink w:history="0" r:id="rId25"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части 1.1 статьи 30</w:t>
              </w:r>
            </w:hyperlink>
            <w:r>
              <w:rPr>
                <w:sz w:val="24"/>
              </w:rP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w:t>
            </w:r>
          </w:p>
        </w:tc>
        <w:tc>
          <w:tcPr>
            <w:tcW w:w="4354" w:type="dxa"/>
          </w:tcPr>
          <w:p>
            <w:pPr>
              <w:pStyle w:val="0"/>
            </w:pPr>
            <w:r>
              <w:rPr>
                <w:sz w:val="24"/>
              </w:rPr>
              <w:t xml:space="preserve">30 и более процентов от совокупного годового объема заказчиков муниципального образования</w:t>
            </w:r>
          </w:p>
        </w:tc>
        <w:tc>
          <w:tcPr>
            <w:tcW w:w="1459" w:type="dxa"/>
          </w:tcPr>
          <w:p>
            <w:pPr>
              <w:pStyle w:val="0"/>
              <w:jc w:val="center"/>
            </w:pPr>
            <w:r>
              <w:rPr>
                <w:sz w:val="24"/>
              </w:rPr>
              <w:t xml:space="preserve">10</w:t>
            </w:r>
          </w:p>
        </w:tc>
      </w:tr>
      <w:tr>
        <w:tc>
          <w:tcPr>
            <w:vMerge w:val="continue"/>
          </w:tcPr>
          <w:p/>
        </w:tc>
        <w:tc>
          <w:tcPr>
            <w:vMerge w:val="continue"/>
          </w:tcPr>
          <w:p/>
        </w:tc>
        <w:tc>
          <w:tcPr>
            <w:tcW w:w="4354" w:type="dxa"/>
          </w:tcPr>
          <w:p>
            <w:pPr>
              <w:pStyle w:val="0"/>
            </w:pPr>
            <w:r>
              <w:rPr>
                <w:sz w:val="24"/>
              </w:rPr>
              <w:t xml:space="preserve">От 15 до 30 процентов от совокупного годового объема заказчиков муниципального образования</w:t>
            </w:r>
          </w:p>
        </w:tc>
        <w:tc>
          <w:tcPr>
            <w:tcW w:w="1459" w:type="dxa"/>
          </w:tcPr>
          <w:p>
            <w:pPr>
              <w:pStyle w:val="0"/>
              <w:jc w:val="center"/>
            </w:pPr>
            <w:r>
              <w:rPr>
                <w:sz w:val="24"/>
              </w:rPr>
              <w:t xml:space="preserve">5</w:t>
            </w:r>
          </w:p>
        </w:tc>
      </w:tr>
      <w:tr>
        <w:tc>
          <w:tcPr>
            <w:vMerge w:val="continue"/>
          </w:tcPr>
          <w:p/>
        </w:tc>
        <w:tc>
          <w:tcPr>
            <w:vMerge w:val="continue"/>
          </w:tcPr>
          <w:p/>
        </w:tc>
        <w:tc>
          <w:tcPr>
            <w:tcW w:w="4354" w:type="dxa"/>
          </w:tcPr>
          <w:p>
            <w:pPr>
              <w:pStyle w:val="0"/>
            </w:pPr>
            <w:r>
              <w:rPr>
                <w:sz w:val="24"/>
              </w:rPr>
              <w:t xml:space="preserve">Менее 15 процентов от совокупного годового объема заказчиков муниципального образования либо отсутствие расчета</w:t>
            </w:r>
          </w:p>
        </w:tc>
        <w:tc>
          <w:tcPr>
            <w:tcW w:w="1459" w:type="dxa"/>
          </w:tcPr>
          <w:p>
            <w:pPr>
              <w:pStyle w:val="0"/>
              <w:jc w:val="center"/>
            </w:pPr>
            <w:r>
              <w:rPr>
                <w:sz w:val="24"/>
              </w:rPr>
              <w:t xml:space="preserve">-5</w:t>
            </w:r>
          </w:p>
        </w:tc>
      </w:tr>
      <w:tr>
        <w:tc>
          <w:tcPr>
            <w:tcW w:w="454" w:type="dxa"/>
            <w:vMerge w:val="restart"/>
          </w:tcPr>
          <w:p>
            <w:pPr>
              <w:pStyle w:val="0"/>
              <w:jc w:val="center"/>
            </w:pPr>
            <w:r>
              <w:rPr>
                <w:sz w:val="24"/>
              </w:rPr>
              <w:t xml:space="preserve">23</w:t>
            </w:r>
          </w:p>
        </w:tc>
        <w:tc>
          <w:tcPr>
            <w:tcW w:w="4354" w:type="dxa"/>
            <w:vMerge w:val="restart"/>
          </w:tcPr>
          <w:p>
            <w:pPr>
              <w:pStyle w:val="0"/>
            </w:pPr>
            <w:r>
              <w:rPr>
                <w:sz w:val="24"/>
              </w:rPr>
              <w:t xml:space="preserve">Доля закупок товаров, работ, услуг у единственного поставщика в соответствии с </w:t>
            </w:r>
            <w:hyperlink w:history="0" r:id="rId26"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пп. 4</w:t>
              </w:r>
            </w:hyperlink>
            <w:r>
              <w:rPr>
                <w:sz w:val="24"/>
              </w:rPr>
              <w:t xml:space="preserve">, </w:t>
            </w:r>
            <w:hyperlink w:history="0" r:id="rId27"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5 ч. 1 ст. 93</w:t>
              </w:r>
            </w:hyperlink>
            <w:r>
              <w:rPr>
                <w:sz w:val="24"/>
              </w:rP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 осуществленных на торговой площадке "Закупки Мурманской области" информационной системы Мурманской области "Управление закупками"</w:t>
            </w:r>
          </w:p>
        </w:tc>
        <w:tc>
          <w:tcPr>
            <w:tcW w:w="4354" w:type="dxa"/>
          </w:tcPr>
          <w:p>
            <w:pPr>
              <w:pStyle w:val="0"/>
            </w:pPr>
            <w:r>
              <w:rPr>
                <w:sz w:val="24"/>
              </w:rPr>
              <w:t xml:space="preserve">30 и более процентов от общего объема осуществленных закупок у единственного поставщика (подрядчика, исполнителя) в отчетном периоде</w:t>
            </w:r>
          </w:p>
        </w:tc>
        <w:tc>
          <w:tcPr>
            <w:tcW w:w="1459" w:type="dxa"/>
          </w:tcPr>
          <w:p>
            <w:pPr>
              <w:pStyle w:val="0"/>
              <w:jc w:val="center"/>
            </w:pPr>
            <w:r>
              <w:rPr>
                <w:sz w:val="24"/>
              </w:rPr>
              <w:t xml:space="preserve">10</w:t>
            </w:r>
          </w:p>
        </w:tc>
      </w:tr>
      <w:tr>
        <w:tc>
          <w:tcPr>
            <w:vMerge w:val="continue"/>
          </w:tcPr>
          <w:p/>
        </w:tc>
        <w:tc>
          <w:tcPr>
            <w:vMerge w:val="continue"/>
          </w:tcPr>
          <w:p/>
        </w:tc>
        <w:tc>
          <w:tcPr>
            <w:tcW w:w="4354" w:type="dxa"/>
          </w:tcPr>
          <w:p>
            <w:pPr>
              <w:pStyle w:val="0"/>
            </w:pPr>
            <w:r>
              <w:rPr>
                <w:sz w:val="24"/>
              </w:rPr>
              <w:t xml:space="preserve">От 15 до 30 процентов от общего объема осуществленных закупок у единственного поставщика (подрядчика, исполнителя) в отчетном периоде</w:t>
            </w:r>
          </w:p>
        </w:tc>
        <w:tc>
          <w:tcPr>
            <w:tcW w:w="1459" w:type="dxa"/>
          </w:tcPr>
          <w:p>
            <w:pPr>
              <w:pStyle w:val="0"/>
              <w:jc w:val="center"/>
            </w:pPr>
            <w:r>
              <w:rPr>
                <w:sz w:val="24"/>
              </w:rPr>
              <w:t xml:space="preserve">5</w:t>
            </w:r>
          </w:p>
        </w:tc>
      </w:tr>
      <w:tr>
        <w:tc>
          <w:tcPr>
            <w:vMerge w:val="continue"/>
          </w:tcPr>
          <w:p/>
        </w:tc>
        <w:tc>
          <w:tcPr>
            <w:vMerge w:val="continue"/>
          </w:tcPr>
          <w:p/>
        </w:tc>
        <w:tc>
          <w:tcPr>
            <w:tcW w:w="4354" w:type="dxa"/>
          </w:tcPr>
          <w:p>
            <w:pPr>
              <w:pStyle w:val="0"/>
            </w:pPr>
            <w:r>
              <w:rPr>
                <w:sz w:val="24"/>
              </w:rPr>
              <w:t xml:space="preserve">От 10 до 15 процентов от общего объема осуществленных закупок у единственного поставщика (подрядчика, исполнителя) в отчетном периоде</w:t>
            </w:r>
          </w:p>
        </w:tc>
        <w:tc>
          <w:tcPr>
            <w:tcW w:w="1459" w:type="dxa"/>
          </w:tcPr>
          <w:p>
            <w:pPr>
              <w:pStyle w:val="0"/>
              <w:jc w:val="center"/>
            </w:pPr>
            <w:r>
              <w:rPr>
                <w:sz w:val="24"/>
              </w:rPr>
              <w:t xml:space="preserve">3</w:t>
            </w:r>
          </w:p>
        </w:tc>
      </w:tr>
      <w:tr>
        <w:tc>
          <w:tcPr>
            <w:vMerge w:val="continue"/>
          </w:tcPr>
          <w:p/>
        </w:tc>
        <w:tc>
          <w:tcPr>
            <w:vMerge w:val="continue"/>
          </w:tcPr>
          <w:p/>
        </w:tc>
        <w:tc>
          <w:tcPr>
            <w:tcW w:w="4354" w:type="dxa"/>
          </w:tcPr>
          <w:p>
            <w:pPr>
              <w:pStyle w:val="0"/>
            </w:pPr>
            <w:r>
              <w:rPr>
                <w:sz w:val="24"/>
              </w:rPr>
              <w:t xml:space="preserve">Менее 10 процентов от общего объема осуществленных закупок у единственного поставщика (подрядчика, исполнителя) в отчетном периоде</w:t>
            </w:r>
          </w:p>
        </w:tc>
        <w:tc>
          <w:tcPr>
            <w:tcW w:w="1459" w:type="dxa"/>
          </w:tcPr>
          <w:p>
            <w:pPr>
              <w:pStyle w:val="0"/>
              <w:jc w:val="center"/>
            </w:pPr>
            <w:r>
              <w:rPr>
                <w:sz w:val="24"/>
              </w:rPr>
              <w:t xml:space="preserve">0</w:t>
            </w:r>
          </w:p>
        </w:tc>
      </w:tr>
      <w:tr>
        <w:tc>
          <w:tcPr>
            <w:tcW w:w="454" w:type="dxa"/>
            <w:tcBorders>
              <w:bottom w:val="nil"/>
            </w:tcBorders>
            <w:vMerge w:val="restart"/>
          </w:tcPr>
          <w:p>
            <w:pPr>
              <w:pStyle w:val="0"/>
              <w:jc w:val="center"/>
            </w:pPr>
            <w:r>
              <w:rPr>
                <w:sz w:val="24"/>
              </w:rPr>
              <w:t xml:space="preserve">24</w:t>
            </w:r>
          </w:p>
        </w:tc>
        <w:tc>
          <w:tcPr>
            <w:tcW w:w="4354" w:type="dxa"/>
            <w:tcBorders>
              <w:bottom w:val="nil"/>
            </w:tcBorders>
            <w:vMerge w:val="restart"/>
          </w:tcPr>
          <w:p>
            <w:pPr>
              <w:pStyle w:val="0"/>
            </w:pPr>
            <w:r>
              <w:rPr>
                <w:sz w:val="24"/>
              </w:rPr>
              <w:t xml:space="preserve">Темп роста количества субъектов малого и среднего предпринимательства (включая индивидуальных предпринимателей), зарегистрированных на территории муниципального округа/городского округа/закрытых административно-территориальных образований Мурманской области, по состоянию на 10 января года, следующего за отчетным, в процентах к соответствующему показателю по состоянию на 10 января отчетного года (по данным Единого реестра субъектов малого и среднего предпринимательства Федеральной налоговой службы)</w:t>
            </w:r>
          </w:p>
        </w:tc>
        <w:tc>
          <w:tcPr>
            <w:tcW w:w="4354" w:type="dxa"/>
          </w:tcPr>
          <w:p>
            <w:pPr>
              <w:pStyle w:val="0"/>
            </w:pPr>
            <w:r>
              <w:rPr>
                <w:sz w:val="24"/>
              </w:rPr>
              <w:t xml:space="preserve">Прирост количества хозяйствующих субъектов</w:t>
            </w:r>
          </w:p>
        </w:tc>
        <w:tc>
          <w:tcPr>
            <w:tcW w:w="1459" w:type="dxa"/>
          </w:tcPr>
          <w:p>
            <w:pPr>
              <w:pStyle w:val="0"/>
              <w:jc w:val="center"/>
            </w:pPr>
            <w:r>
              <w:rPr>
                <w:sz w:val="24"/>
              </w:rPr>
              <w:t xml:space="preserve">3</w:t>
            </w:r>
          </w:p>
        </w:tc>
      </w:tr>
      <w:tr>
        <w:tc>
          <w:tcPr>
            <w:tcBorders>
              <w:bottom w:val="nil"/>
            </w:tcBorders>
            <w:vMerge w:val="continue"/>
          </w:tcPr>
          <w:p/>
        </w:tc>
        <w:tc>
          <w:tcPr>
            <w:tcBorders>
              <w:bottom w:val="nil"/>
            </w:tcBorders>
            <w:vMerge w:val="continue"/>
          </w:tcPr>
          <w:p/>
        </w:tc>
        <w:tc>
          <w:tcPr>
            <w:tcW w:w="4354" w:type="dxa"/>
          </w:tcPr>
          <w:p>
            <w:pPr>
              <w:pStyle w:val="0"/>
            </w:pPr>
            <w:r>
              <w:rPr>
                <w:sz w:val="24"/>
              </w:rPr>
              <w:t xml:space="preserve">Уровень не изменился</w:t>
            </w:r>
          </w:p>
        </w:tc>
        <w:tc>
          <w:tcPr>
            <w:tcW w:w="1459" w:type="dxa"/>
          </w:tcPr>
          <w:p>
            <w:pPr>
              <w:pStyle w:val="0"/>
              <w:jc w:val="center"/>
            </w:pPr>
            <w:r>
              <w:rPr>
                <w:sz w:val="24"/>
              </w:rPr>
              <w:t xml:space="preserve">1</w:t>
            </w:r>
          </w:p>
        </w:tc>
      </w:tr>
      <w:tr>
        <w:tblPrEx>
          <w:tblBorders>
            <w:insideH w:val="nil"/>
          </w:tblBorders>
        </w:tblPrEx>
        <w:tc>
          <w:tcPr>
            <w:tcBorders>
              <w:bottom w:val="nil"/>
            </w:tcBorders>
            <w:vMerge w:val="continue"/>
          </w:tcPr>
          <w:p/>
        </w:tc>
        <w:tc>
          <w:tcPr>
            <w:tcBorders>
              <w:bottom w:val="nil"/>
            </w:tcBorders>
            <w:vMerge w:val="continue"/>
          </w:tcPr>
          <w:p/>
        </w:tc>
        <w:tc>
          <w:tcPr>
            <w:tcW w:w="4354" w:type="dxa"/>
            <w:tcBorders>
              <w:bottom w:val="nil"/>
            </w:tcBorders>
          </w:tcPr>
          <w:p>
            <w:pPr>
              <w:pStyle w:val="0"/>
            </w:pPr>
            <w:r>
              <w:rPr>
                <w:sz w:val="24"/>
              </w:rPr>
              <w:t xml:space="preserve">Снижение количества хозяйствующих субъектов</w:t>
            </w:r>
          </w:p>
        </w:tc>
        <w:tc>
          <w:tcPr>
            <w:tcW w:w="1459" w:type="dxa"/>
            <w:tcBorders>
              <w:bottom w:val="nil"/>
            </w:tcBorders>
          </w:tcPr>
          <w:p>
            <w:pPr>
              <w:pStyle w:val="0"/>
              <w:jc w:val="center"/>
            </w:pPr>
            <w:r>
              <w:rPr>
                <w:sz w:val="24"/>
              </w:rPr>
              <w:t xml:space="preserve">0</w:t>
            </w:r>
          </w:p>
        </w:tc>
      </w:tr>
      <w:tr>
        <w:tblPrEx>
          <w:tblBorders>
            <w:insideH w:val="nil"/>
          </w:tblBorders>
        </w:tblPrEx>
        <w:tc>
          <w:tcPr>
            <w:gridSpan w:val="4"/>
            <w:tcW w:w="10621" w:type="dxa"/>
            <w:tcBorders>
              <w:top w:val="nil"/>
            </w:tcBorders>
          </w:tcPr>
          <w:p>
            <w:pPr>
              <w:pStyle w:val="0"/>
              <w:jc w:val="both"/>
            </w:pPr>
            <w:r>
              <w:rPr>
                <w:sz w:val="24"/>
              </w:rPr>
              <w:t xml:space="preserve">в ред. </w:t>
            </w:r>
            <w:hyperlink w:history="0" r:id="rId28" w:tooltip="Постановление Правительства Мурманской области от 26.03.2026 N 151-ПП &quot;О внесении изменений в некоторые постановления Правительства Мурманской области&quot; {КонсультантПлюс}">
              <w:r>
                <w:rPr>
                  <w:sz w:val="24"/>
                  <w:color w:val="0000ff"/>
                </w:rPr>
                <w:t xml:space="preserve">Постановления</w:t>
              </w:r>
            </w:hyperlink>
            <w:r>
              <w:rPr>
                <w:sz w:val="24"/>
              </w:rPr>
              <w:t xml:space="preserve"> Правительства Мурманской области от 26.03.2026 N 151-ПП</w:t>
            </w:r>
          </w:p>
        </w:tc>
      </w:tr>
      <w:tr>
        <w:tc>
          <w:tcPr>
            <w:tcW w:w="454" w:type="dxa"/>
            <w:vMerge w:val="restart"/>
          </w:tcPr>
          <w:p>
            <w:pPr>
              <w:pStyle w:val="0"/>
              <w:jc w:val="center"/>
            </w:pPr>
            <w:r>
              <w:rPr>
                <w:sz w:val="24"/>
              </w:rPr>
              <w:t xml:space="preserve">25</w:t>
            </w:r>
          </w:p>
        </w:tc>
        <w:tc>
          <w:tcPr>
            <w:tcW w:w="4354" w:type="dxa"/>
            <w:vMerge w:val="restart"/>
          </w:tcPr>
          <w:p>
            <w:pPr>
              <w:pStyle w:val="0"/>
            </w:pPr>
            <w:r>
              <w:rPr>
                <w:sz w:val="24"/>
              </w:rPr>
              <w:t xml:space="preserve">Количество заключенных в отчетном периоде соглашений о муниципальной поддержке инвестиционной деятельности и договоров аренды, включающих информацию о предоставлении льготных ставок арендной платы за имущество, находящееся в муниципальной собственности, для категорий плательщиков, реализующих приоритетные для муниципального образования инвестиционные проекты</w:t>
            </w:r>
          </w:p>
        </w:tc>
        <w:tc>
          <w:tcPr>
            <w:tcW w:w="4354" w:type="dxa"/>
          </w:tcPr>
          <w:p>
            <w:pPr>
              <w:pStyle w:val="0"/>
            </w:pPr>
            <w:r>
              <w:rPr>
                <w:sz w:val="24"/>
              </w:rPr>
              <w:t xml:space="preserve">2 соглашения и более</w:t>
            </w:r>
          </w:p>
        </w:tc>
        <w:tc>
          <w:tcPr>
            <w:tcW w:w="1459" w:type="dxa"/>
          </w:tcPr>
          <w:p>
            <w:pPr>
              <w:pStyle w:val="0"/>
              <w:jc w:val="center"/>
            </w:pPr>
            <w:r>
              <w:rPr>
                <w:sz w:val="24"/>
              </w:rPr>
              <w:t xml:space="preserve">6</w:t>
            </w:r>
          </w:p>
        </w:tc>
      </w:tr>
      <w:tr>
        <w:tc>
          <w:tcPr>
            <w:vMerge w:val="continue"/>
          </w:tcPr>
          <w:p/>
        </w:tc>
        <w:tc>
          <w:tcPr>
            <w:vMerge w:val="continue"/>
          </w:tcPr>
          <w:p/>
        </w:tc>
        <w:tc>
          <w:tcPr>
            <w:tcW w:w="4354" w:type="dxa"/>
          </w:tcPr>
          <w:p>
            <w:pPr>
              <w:pStyle w:val="0"/>
            </w:pPr>
            <w:r>
              <w:rPr>
                <w:sz w:val="24"/>
              </w:rPr>
              <w:t xml:space="preserve">1 соглашение</w:t>
            </w:r>
          </w:p>
        </w:tc>
        <w:tc>
          <w:tcPr>
            <w:tcW w:w="1459" w:type="dxa"/>
          </w:tcPr>
          <w:p>
            <w:pPr>
              <w:pStyle w:val="0"/>
              <w:jc w:val="center"/>
            </w:pPr>
            <w:r>
              <w:rPr>
                <w:sz w:val="24"/>
              </w:rPr>
              <w:t xml:space="preserve">3</w:t>
            </w:r>
          </w:p>
        </w:tc>
      </w:tr>
      <w:tr>
        <w:tc>
          <w:tcPr>
            <w:vMerge w:val="continue"/>
          </w:tcPr>
          <w:p/>
        </w:tc>
        <w:tc>
          <w:tcPr>
            <w:vMerge w:val="continue"/>
          </w:tcPr>
          <w:p/>
        </w:tc>
        <w:tc>
          <w:tcPr>
            <w:tcW w:w="4354" w:type="dxa"/>
          </w:tcPr>
          <w:p>
            <w:pPr>
              <w:pStyle w:val="0"/>
            </w:pPr>
            <w:r>
              <w:rPr>
                <w:sz w:val="24"/>
              </w:rPr>
              <w:t xml:space="preserve">Отсутствие соглашений</w:t>
            </w:r>
          </w:p>
        </w:tc>
        <w:tc>
          <w:tcPr>
            <w:tcW w:w="1459" w:type="dxa"/>
          </w:tcPr>
          <w:p>
            <w:pPr>
              <w:pStyle w:val="0"/>
              <w:jc w:val="center"/>
            </w:pPr>
            <w:r>
              <w:rPr>
                <w:sz w:val="24"/>
              </w:rPr>
              <w:t xml:space="preserve">0</w:t>
            </w:r>
          </w:p>
        </w:tc>
      </w:tr>
      <w:tr>
        <w:tc>
          <w:tcPr>
            <w:tcW w:w="454" w:type="dxa"/>
            <w:vMerge w:val="restart"/>
          </w:tcPr>
          <w:p>
            <w:pPr>
              <w:pStyle w:val="0"/>
              <w:jc w:val="center"/>
            </w:pPr>
            <w:r>
              <w:rPr>
                <w:sz w:val="24"/>
              </w:rPr>
              <w:t xml:space="preserve">26</w:t>
            </w:r>
          </w:p>
        </w:tc>
        <w:tc>
          <w:tcPr>
            <w:tcW w:w="4354" w:type="dxa"/>
            <w:vMerge w:val="restart"/>
          </w:tcPr>
          <w:p>
            <w:pPr>
              <w:pStyle w:val="0"/>
            </w:pPr>
            <w:r>
              <w:rPr>
                <w:sz w:val="24"/>
              </w:rPr>
              <w:t xml:space="preserve">Наличие актуального регламента сопровождения инвестиционных проектов в муниципальном образовании, соответствующего требованиям </w:t>
            </w:r>
            <w:hyperlink w:history="0" r:id="rId29" w:tooltip="Приказ Минэкономразвития России от 26.09.2023 N 672 &quot;Об утверждении Методических рекомендаций по организации системной работы по сопровождению инвестиционных проектов муниципальными образованиями с учетом внедрения в субъектах Российской Федерации системы поддержки новых инвестиционных проектов (&quot;Региональный инвестиционный стандарт&quot;)&quot; {КонсультантПлюс}">
              <w:r>
                <w:rPr>
                  <w:sz w:val="24"/>
                  <w:color w:val="0000ff"/>
                </w:rPr>
                <w:t xml:space="preserve">приказа</w:t>
              </w:r>
            </w:hyperlink>
            <w:r>
              <w:rPr>
                <w:sz w:val="24"/>
              </w:rPr>
              <w:t xml:space="preserve"> Министерства экономического развития Российской Федерации от 26.09.2023 N 672 "Об утверждении Методических рекомендаций по организации системной работы по сопровождению инвестиционных проектов муниципальными образованиями с учетом внедрения в субъектах Российской Федерации системы поддержки новых инвестиционных проектов ("Региональный инвестиционный стандарт")" (далее - Приказ Минэкономразвития России N 672)</w:t>
            </w:r>
          </w:p>
        </w:tc>
        <w:tc>
          <w:tcPr>
            <w:tcW w:w="4354" w:type="dxa"/>
          </w:tcPr>
          <w:p>
            <w:pPr>
              <w:pStyle w:val="0"/>
            </w:pPr>
            <w:r>
              <w:rPr>
                <w:sz w:val="24"/>
              </w:rPr>
              <w:t xml:space="preserve">Наличие</w:t>
            </w:r>
          </w:p>
        </w:tc>
        <w:tc>
          <w:tcPr>
            <w:tcW w:w="1459" w:type="dxa"/>
          </w:tcPr>
          <w:p>
            <w:pPr>
              <w:pStyle w:val="0"/>
              <w:jc w:val="center"/>
            </w:pPr>
            <w:r>
              <w:rPr>
                <w:sz w:val="24"/>
              </w:rPr>
              <w:t xml:space="preserve">3</w:t>
            </w:r>
          </w:p>
        </w:tc>
      </w:tr>
      <w:tr>
        <w:tc>
          <w:tcPr>
            <w:vMerge w:val="continue"/>
          </w:tcPr>
          <w:p/>
        </w:tc>
        <w:tc>
          <w:tcPr>
            <w:vMerge w:val="continue"/>
          </w:tcPr>
          <w:p/>
        </w:tc>
        <w:tc>
          <w:tcPr>
            <w:tcW w:w="4354" w:type="dxa"/>
          </w:tcPr>
          <w:p>
            <w:pPr>
              <w:pStyle w:val="0"/>
            </w:pPr>
            <w:r>
              <w:rPr>
                <w:sz w:val="24"/>
              </w:rPr>
              <w:t xml:space="preserve">Отсутствие</w:t>
            </w:r>
          </w:p>
        </w:tc>
        <w:tc>
          <w:tcPr>
            <w:tcW w:w="1459" w:type="dxa"/>
          </w:tcPr>
          <w:p>
            <w:pPr>
              <w:pStyle w:val="0"/>
              <w:jc w:val="center"/>
            </w:pPr>
            <w:r>
              <w:rPr>
                <w:sz w:val="24"/>
              </w:rPr>
              <w:t xml:space="preserve">0</w:t>
            </w:r>
          </w:p>
        </w:tc>
      </w:tr>
      <w:tr>
        <w:tc>
          <w:tcPr>
            <w:tcW w:w="454" w:type="dxa"/>
            <w:vMerge w:val="restart"/>
          </w:tcPr>
          <w:p>
            <w:pPr>
              <w:pStyle w:val="0"/>
              <w:jc w:val="center"/>
            </w:pPr>
            <w:r>
              <w:rPr>
                <w:sz w:val="24"/>
              </w:rPr>
              <w:t xml:space="preserve">27</w:t>
            </w:r>
          </w:p>
        </w:tc>
        <w:tc>
          <w:tcPr>
            <w:tcW w:w="4354" w:type="dxa"/>
            <w:vMerge w:val="restart"/>
          </w:tcPr>
          <w:p>
            <w:pPr>
              <w:pStyle w:val="0"/>
            </w:pPr>
            <w:r>
              <w:rPr>
                <w:sz w:val="24"/>
              </w:rPr>
              <w:t xml:space="preserve">Наличие на официальном информационном ресурсе муниципального образования раздела (вкладки) в сфере инвестиционной деятельности</w:t>
            </w:r>
          </w:p>
        </w:tc>
        <w:tc>
          <w:tcPr>
            <w:tcW w:w="4354" w:type="dxa"/>
          </w:tcPr>
          <w:p>
            <w:pPr>
              <w:pStyle w:val="0"/>
            </w:pPr>
            <w:r>
              <w:rPr>
                <w:sz w:val="24"/>
              </w:rPr>
              <w:t xml:space="preserve">Наличие</w:t>
            </w:r>
          </w:p>
        </w:tc>
        <w:tc>
          <w:tcPr>
            <w:tcW w:w="1459" w:type="dxa"/>
          </w:tcPr>
          <w:p>
            <w:pPr>
              <w:pStyle w:val="0"/>
              <w:jc w:val="center"/>
            </w:pPr>
            <w:r>
              <w:rPr>
                <w:sz w:val="24"/>
              </w:rPr>
              <w:t xml:space="preserve">2</w:t>
            </w:r>
          </w:p>
        </w:tc>
      </w:tr>
      <w:tr>
        <w:tc>
          <w:tcPr>
            <w:vMerge w:val="continue"/>
          </w:tcPr>
          <w:p/>
        </w:tc>
        <w:tc>
          <w:tcPr>
            <w:vMerge w:val="continue"/>
          </w:tcPr>
          <w:p/>
        </w:tc>
        <w:tc>
          <w:tcPr>
            <w:tcW w:w="4354" w:type="dxa"/>
          </w:tcPr>
          <w:p>
            <w:pPr>
              <w:pStyle w:val="0"/>
            </w:pPr>
            <w:r>
              <w:rPr>
                <w:sz w:val="24"/>
              </w:rPr>
              <w:t xml:space="preserve">Отсутствие</w:t>
            </w:r>
          </w:p>
        </w:tc>
        <w:tc>
          <w:tcPr>
            <w:tcW w:w="1459" w:type="dxa"/>
          </w:tcPr>
          <w:p>
            <w:pPr>
              <w:pStyle w:val="0"/>
              <w:jc w:val="center"/>
            </w:pPr>
            <w:r>
              <w:rPr>
                <w:sz w:val="24"/>
              </w:rPr>
              <w:t xml:space="preserve">0</w:t>
            </w:r>
          </w:p>
        </w:tc>
      </w:tr>
      <w:tr>
        <w:tc>
          <w:tcPr>
            <w:tcW w:w="454" w:type="dxa"/>
            <w:vMerge w:val="restart"/>
          </w:tcPr>
          <w:p>
            <w:pPr>
              <w:pStyle w:val="0"/>
              <w:jc w:val="center"/>
            </w:pPr>
            <w:r>
              <w:rPr>
                <w:sz w:val="24"/>
              </w:rPr>
              <w:t xml:space="preserve">28</w:t>
            </w:r>
          </w:p>
        </w:tc>
        <w:tc>
          <w:tcPr>
            <w:tcW w:w="4354" w:type="dxa"/>
            <w:vMerge w:val="restart"/>
          </w:tcPr>
          <w:p>
            <w:pPr>
              <w:pStyle w:val="0"/>
            </w:pPr>
            <w:r>
              <w:rPr>
                <w:sz w:val="24"/>
              </w:rPr>
              <w:t xml:space="preserve">Наличие в муниципальном образовании комплексного информационного документа в виде презентационного материала с графическим отображением статистических данных, содержащего информацию из инвестиционного паспорта муниципального образования или документа стратегического планирования, разрабатываемого на уровне муниципального образования, необходимую инвестору для принятия решения о вложении инвестиций в инвестиционные проекты, реализуемые на территории муниципального образования, согласованного главой местной администрации и размещенного на официальном информационном ресурсе муниципального образования (далее - инвестиционный профиль).</w:t>
            </w:r>
          </w:p>
          <w:p>
            <w:pPr>
              <w:pStyle w:val="0"/>
            </w:pPr>
            <w:r>
              <w:rPr>
                <w:sz w:val="24"/>
              </w:rPr>
              <w:t xml:space="preserve">Инвестиционный профиль муниципального образования должен полностью соответствовать </w:t>
            </w:r>
            <w:hyperlink w:history="0" r:id="rId30" w:tooltip="Приказ Минэкономразвития России от 26.09.2023 N 672 &quot;Об утверждении Методических рекомендаций по организации системной работы по сопровождению инвестиционных проектов муниципальными образованиями с учетом внедрения в субъектах Российской Федерации системы поддержки новых инвестиционных проектов (&quot;Региональный инвестиционный стандарт&quot;)&quot; {КонсультантПлюс}">
              <w:r>
                <w:rPr>
                  <w:sz w:val="24"/>
                  <w:color w:val="0000ff"/>
                </w:rPr>
                <w:t xml:space="preserve">приказу</w:t>
              </w:r>
            </w:hyperlink>
            <w:r>
              <w:rPr>
                <w:sz w:val="24"/>
              </w:rPr>
              <w:t xml:space="preserve"> Минэкономразвития России N 672</w:t>
            </w:r>
          </w:p>
        </w:tc>
        <w:tc>
          <w:tcPr>
            <w:tcW w:w="4354" w:type="dxa"/>
          </w:tcPr>
          <w:p>
            <w:pPr>
              <w:pStyle w:val="0"/>
            </w:pPr>
            <w:r>
              <w:rPr>
                <w:sz w:val="24"/>
              </w:rPr>
              <w:t xml:space="preserve">Наличие</w:t>
            </w:r>
          </w:p>
        </w:tc>
        <w:tc>
          <w:tcPr>
            <w:tcW w:w="1459" w:type="dxa"/>
          </w:tcPr>
          <w:p>
            <w:pPr>
              <w:pStyle w:val="0"/>
              <w:jc w:val="center"/>
            </w:pPr>
            <w:r>
              <w:rPr>
                <w:sz w:val="24"/>
              </w:rPr>
              <w:t xml:space="preserve">2</w:t>
            </w:r>
          </w:p>
        </w:tc>
      </w:tr>
      <w:tr>
        <w:tc>
          <w:tcPr>
            <w:vMerge w:val="continue"/>
          </w:tcPr>
          <w:p/>
        </w:tc>
        <w:tc>
          <w:tcPr>
            <w:vMerge w:val="continue"/>
          </w:tcPr>
          <w:p/>
        </w:tc>
        <w:tc>
          <w:tcPr>
            <w:tcW w:w="4354" w:type="dxa"/>
          </w:tcPr>
          <w:p>
            <w:pPr>
              <w:pStyle w:val="0"/>
            </w:pPr>
            <w:r>
              <w:rPr>
                <w:sz w:val="24"/>
              </w:rPr>
              <w:t xml:space="preserve">Отсутствие</w:t>
            </w:r>
          </w:p>
        </w:tc>
        <w:tc>
          <w:tcPr>
            <w:tcW w:w="1459" w:type="dxa"/>
          </w:tcPr>
          <w:p>
            <w:pPr>
              <w:pStyle w:val="0"/>
              <w:jc w:val="center"/>
            </w:pPr>
            <w:r>
              <w:rPr>
                <w:sz w:val="24"/>
              </w:rPr>
              <w:t xml:space="preserve">0</w:t>
            </w:r>
          </w:p>
        </w:tc>
      </w:tr>
      <w:tr>
        <w:tc>
          <w:tcPr>
            <w:tcW w:w="454" w:type="dxa"/>
            <w:vMerge w:val="restart"/>
          </w:tcPr>
          <w:p>
            <w:pPr>
              <w:pStyle w:val="0"/>
              <w:jc w:val="center"/>
            </w:pPr>
            <w:r>
              <w:rPr>
                <w:sz w:val="24"/>
              </w:rPr>
              <w:t xml:space="preserve">29</w:t>
            </w:r>
          </w:p>
        </w:tc>
        <w:tc>
          <w:tcPr>
            <w:tcW w:w="4354" w:type="dxa"/>
            <w:vMerge w:val="restart"/>
          </w:tcPr>
          <w:p>
            <w:pPr>
              <w:pStyle w:val="0"/>
            </w:pPr>
            <w:r>
              <w:rPr>
                <w:sz w:val="24"/>
              </w:rPr>
              <w:t xml:space="preserve">Наличие в муниципальном образовании утвержденного нормативным правовым актом муниципального образования совещательного органа под председательством главы администрации муниципального образования, основной функцией которого является рассмотрение вопросов содействия реализации инвестиционных проектов, сопровождаемых на уровне муниципального образования. Состав вышеназванного совещательного органа должен полностью соответствовать </w:t>
            </w:r>
            <w:hyperlink w:history="0" r:id="rId31" w:tooltip="Приказ Минэкономразвития России от 26.09.2023 N 672 &quot;Об утверждении Методических рекомендаций по организации системной работы по сопровождению инвестиционных проектов муниципальными образованиями с учетом внедрения в субъектах Российской Федерации системы поддержки новых инвестиционных проектов (&quot;Региональный инвестиционный стандарт&quot;)&quot; {КонсультантПлюс}">
              <w:r>
                <w:rPr>
                  <w:sz w:val="24"/>
                  <w:color w:val="0000ff"/>
                </w:rPr>
                <w:t xml:space="preserve">приказу</w:t>
              </w:r>
            </w:hyperlink>
            <w:r>
              <w:rPr>
                <w:sz w:val="24"/>
              </w:rPr>
              <w:t xml:space="preserve"> Минэкономразвития России N 672</w:t>
            </w:r>
          </w:p>
        </w:tc>
        <w:tc>
          <w:tcPr>
            <w:tcW w:w="4354" w:type="dxa"/>
          </w:tcPr>
          <w:p>
            <w:pPr>
              <w:pStyle w:val="0"/>
            </w:pPr>
            <w:r>
              <w:rPr>
                <w:sz w:val="24"/>
              </w:rPr>
              <w:t xml:space="preserve">Наличие</w:t>
            </w:r>
          </w:p>
        </w:tc>
        <w:tc>
          <w:tcPr>
            <w:tcW w:w="1459" w:type="dxa"/>
          </w:tcPr>
          <w:p>
            <w:pPr>
              <w:pStyle w:val="0"/>
              <w:jc w:val="center"/>
            </w:pPr>
            <w:r>
              <w:rPr>
                <w:sz w:val="24"/>
              </w:rPr>
              <w:t xml:space="preserve">2</w:t>
            </w:r>
          </w:p>
        </w:tc>
      </w:tr>
      <w:tr>
        <w:tc>
          <w:tcPr>
            <w:vMerge w:val="continue"/>
          </w:tcPr>
          <w:p/>
        </w:tc>
        <w:tc>
          <w:tcPr>
            <w:vMerge w:val="continue"/>
          </w:tcPr>
          <w:p/>
        </w:tc>
        <w:tc>
          <w:tcPr>
            <w:tcW w:w="4354" w:type="dxa"/>
          </w:tcPr>
          <w:p>
            <w:pPr>
              <w:pStyle w:val="0"/>
            </w:pPr>
            <w:r>
              <w:rPr>
                <w:sz w:val="24"/>
              </w:rPr>
              <w:t xml:space="preserve">Отсутствие</w:t>
            </w:r>
          </w:p>
        </w:tc>
        <w:tc>
          <w:tcPr>
            <w:tcW w:w="1459" w:type="dxa"/>
          </w:tcPr>
          <w:p>
            <w:pPr>
              <w:pStyle w:val="0"/>
              <w:jc w:val="center"/>
            </w:pPr>
            <w:r>
              <w:rPr>
                <w:sz w:val="24"/>
              </w:rPr>
              <w:t xml:space="preserve">0</w:t>
            </w:r>
          </w:p>
        </w:tc>
      </w:tr>
      <w:tr>
        <w:tc>
          <w:tcPr>
            <w:tcW w:w="454" w:type="dxa"/>
            <w:vMerge w:val="restart"/>
          </w:tcPr>
          <w:p>
            <w:pPr>
              <w:pStyle w:val="0"/>
              <w:jc w:val="center"/>
            </w:pPr>
            <w:r>
              <w:rPr>
                <w:sz w:val="24"/>
              </w:rPr>
              <w:t xml:space="preserve">30</w:t>
            </w:r>
          </w:p>
        </w:tc>
        <w:tc>
          <w:tcPr>
            <w:tcW w:w="4354" w:type="dxa"/>
            <w:vMerge w:val="restart"/>
          </w:tcPr>
          <w:p>
            <w:pPr>
              <w:pStyle w:val="0"/>
            </w:pPr>
            <w:r>
              <w:rPr>
                <w:sz w:val="24"/>
              </w:rPr>
              <w:t xml:space="preserve">Наличие заключенного соглашения о взаимодействии по вопросам внедрения муниципального инвестиционного стандарта между Министерством развития Арктики и экономики Мурманской области, акционерным обществом "Корпорация развития Мурманской области" и муниципалитетом</w:t>
            </w:r>
          </w:p>
        </w:tc>
        <w:tc>
          <w:tcPr>
            <w:tcW w:w="4354" w:type="dxa"/>
          </w:tcPr>
          <w:p>
            <w:pPr>
              <w:pStyle w:val="0"/>
            </w:pPr>
            <w:r>
              <w:rPr>
                <w:sz w:val="24"/>
              </w:rPr>
              <w:t xml:space="preserve">Наличие</w:t>
            </w:r>
          </w:p>
        </w:tc>
        <w:tc>
          <w:tcPr>
            <w:tcW w:w="1459" w:type="dxa"/>
          </w:tcPr>
          <w:p>
            <w:pPr>
              <w:pStyle w:val="0"/>
              <w:jc w:val="center"/>
            </w:pPr>
            <w:r>
              <w:rPr>
                <w:sz w:val="24"/>
              </w:rPr>
              <w:t xml:space="preserve">5</w:t>
            </w:r>
          </w:p>
        </w:tc>
      </w:tr>
      <w:tr>
        <w:tc>
          <w:tcPr>
            <w:vMerge w:val="continue"/>
          </w:tcPr>
          <w:p/>
        </w:tc>
        <w:tc>
          <w:tcPr>
            <w:vMerge w:val="continue"/>
          </w:tcPr>
          <w:p/>
        </w:tc>
        <w:tc>
          <w:tcPr>
            <w:tcW w:w="4354" w:type="dxa"/>
          </w:tcPr>
          <w:p>
            <w:pPr>
              <w:pStyle w:val="0"/>
            </w:pPr>
            <w:r>
              <w:rPr>
                <w:sz w:val="24"/>
              </w:rPr>
              <w:t xml:space="preserve">Отсутствие</w:t>
            </w:r>
          </w:p>
        </w:tc>
        <w:tc>
          <w:tcPr>
            <w:tcW w:w="1459" w:type="dxa"/>
          </w:tcPr>
          <w:p>
            <w:pPr>
              <w:pStyle w:val="0"/>
              <w:jc w:val="center"/>
            </w:pPr>
            <w:r>
              <w:rPr>
                <w:sz w:val="24"/>
              </w:rPr>
              <w:t xml:space="preserve">0</w:t>
            </w:r>
          </w:p>
        </w:tc>
      </w:tr>
      <w:tr>
        <w:tc>
          <w:tcPr>
            <w:tcW w:w="454" w:type="dxa"/>
            <w:vMerge w:val="restart"/>
          </w:tcPr>
          <w:p>
            <w:pPr>
              <w:pStyle w:val="0"/>
              <w:jc w:val="center"/>
            </w:pPr>
            <w:r>
              <w:rPr>
                <w:sz w:val="24"/>
              </w:rPr>
              <w:t xml:space="preserve">31</w:t>
            </w:r>
          </w:p>
        </w:tc>
        <w:tc>
          <w:tcPr>
            <w:tcW w:w="4354" w:type="dxa"/>
            <w:vMerge w:val="restart"/>
          </w:tcPr>
          <w:p>
            <w:pPr>
              <w:pStyle w:val="0"/>
            </w:pPr>
            <w:r>
              <w:rPr>
                <w:sz w:val="24"/>
              </w:rPr>
              <w:t xml:space="preserve">Количество инвестиционных проектов, завершивших реализацию в отчетном году</w:t>
            </w:r>
          </w:p>
        </w:tc>
        <w:tc>
          <w:tcPr>
            <w:tcW w:w="4354" w:type="dxa"/>
          </w:tcPr>
          <w:p>
            <w:pPr>
              <w:pStyle w:val="0"/>
            </w:pPr>
            <w:r>
              <w:rPr>
                <w:sz w:val="24"/>
              </w:rPr>
              <w:t xml:space="preserve">Более 1 проекта</w:t>
            </w:r>
          </w:p>
        </w:tc>
        <w:tc>
          <w:tcPr>
            <w:tcW w:w="1459" w:type="dxa"/>
          </w:tcPr>
          <w:p>
            <w:pPr>
              <w:pStyle w:val="0"/>
              <w:jc w:val="center"/>
            </w:pPr>
            <w:r>
              <w:rPr>
                <w:sz w:val="24"/>
              </w:rPr>
              <w:t xml:space="preserve">6</w:t>
            </w:r>
          </w:p>
        </w:tc>
      </w:tr>
      <w:tr>
        <w:tc>
          <w:tcPr>
            <w:vMerge w:val="continue"/>
          </w:tcPr>
          <w:p/>
        </w:tc>
        <w:tc>
          <w:tcPr>
            <w:vMerge w:val="continue"/>
          </w:tcPr>
          <w:p/>
        </w:tc>
        <w:tc>
          <w:tcPr>
            <w:tcW w:w="4354" w:type="dxa"/>
          </w:tcPr>
          <w:p>
            <w:pPr>
              <w:pStyle w:val="0"/>
            </w:pPr>
            <w:r>
              <w:rPr>
                <w:sz w:val="24"/>
              </w:rPr>
              <w:t xml:space="preserve">1 проект</w:t>
            </w:r>
          </w:p>
        </w:tc>
        <w:tc>
          <w:tcPr>
            <w:tcW w:w="1459" w:type="dxa"/>
          </w:tcPr>
          <w:p>
            <w:pPr>
              <w:pStyle w:val="0"/>
              <w:jc w:val="center"/>
            </w:pPr>
            <w:r>
              <w:rPr>
                <w:sz w:val="24"/>
              </w:rPr>
              <w:t xml:space="preserve">3</w:t>
            </w:r>
          </w:p>
        </w:tc>
      </w:tr>
      <w:tr>
        <w:tc>
          <w:tcPr>
            <w:vMerge w:val="continue"/>
          </w:tcPr>
          <w:p/>
        </w:tc>
        <w:tc>
          <w:tcPr>
            <w:vMerge w:val="continue"/>
          </w:tcPr>
          <w:p/>
        </w:tc>
        <w:tc>
          <w:tcPr>
            <w:tcW w:w="4354" w:type="dxa"/>
          </w:tcPr>
          <w:p>
            <w:pPr>
              <w:pStyle w:val="0"/>
            </w:pPr>
            <w:r>
              <w:rPr>
                <w:sz w:val="24"/>
              </w:rPr>
              <w:t xml:space="preserve">Отсутствие проектов</w:t>
            </w:r>
          </w:p>
        </w:tc>
        <w:tc>
          <w:tcPr>
            <w:tcW w:w="1459" w:type="dxa"/>
          </w:tcPr>
          <w:p>
            <w:pPr>
              <w:pStyle w:val="0"/>
              <w:jc w:val="center"/>
            </w:pPr>
            <w:r>
              <w:rPr>
                <w:sz w:val="24"/>
              </w:rPr>
              <w:t xml:space="preserve">0</w:t>
            </w:r>
          </w:p>
        </w:tc>
      </w:tr>
      <w:tr>
        <w:tc>
          <w:tcPr>
            <w:tcW w:w="454" w:type="dxa"/>
            <w:vMerge w:val="restart"/>
          </w:tcPr>
          <w:p>
            <w:pPr>
              <w:pStyle w:val="0"/>
              <w:jc w:val="center"/>
            </w:pPr>
            <w:r>
              <w:rPr>
                <w:sz w:val="24"/>
              </w:rPr>
              <w:t xml:space="preserve">32</w:t>
            </w:r>
          </w:p>
        </w:tc>
        <w:tc>
          <w:tcPr>
            <w:tcW w:w="4354" w:type="dxa"/>
            <w:vMerge w:val="restart"/>
          </w:tcPr>
          <w:p>
            <w:pPr>
              <w:pStyle w:val="0"/>
            </w:pPr>
            <w:r>
              <w:rPr>
                <w:sz w:val="24"/>
              </w:rPr>
              <w:t xml:space="preserve">Количество новых инвестиционных проектов в отчетном году</w:t>
            </w:r>
          </w:p>
        </w:tc>
        <w:tc>
          <w:tcPr>
            <w:tcW w:w="4354" w:type="dxa"/>
          </w:tcPr>
          <w:p>
            <w:pPr>
              <w:pStyle w:val="0"/>
            </w:pPr>
            <w:r>
              <w:rPr>
                <w:sz w:val="24"/>
              </w:rPr>
              <w:t xml:space="preserve">Более 1 проекта</w:t>
            </w:r>
          </w:p>
        </w:tc>
        <w:tc>
          <w:tcPr>
            <w:tcW w:w="1459" w:type="dxa"/>
          </w:tcPr>
          <w:p>
            <w:pPr>
              <w:pStyle w:val="0"/>
              <w:jc w:val="center"/>
            </w:pPr>
            <w:r>
              <w:rPr>
                <w:sz w:val="24"/>
              </w:rPr>
              <w:t xml:space="preserve">6</w:t>
            </w:r>
          </w:p>
        </w:tc>
      </w:tr>
      <w:tr>
        <w:tc>
          <w:tcPr>
            <w:vMerge w:val="continue"/>
          </w:tcPr>
          <w:p/>
        </w:tc>
        <w:tc>
          <w:tcPr>
            <w:vMerge w:val="continue"/>
          </w:tcPr>
          <w:p/>
        </w:tc>
        <w:tc>
          <w:tcPr>
            <w:tcW w:w="4354" w:type="dxa"/>
          </w:tcPr>
          <w:p>
            <w:pPr>
              <w:pStyle w:val="0"/>
            </w:pPr>
            <w:r>
              <w:rPr>
                <w:sz w:val="24"/>
              </w:rPr>
              <w:t xml:space="preserve">1 проект</w:t>
            </w:r>
          </w:p>
        </w:tc>
        <w:tc>
          <w:tcPr>
            <w:tcW w:w="1459" w:type="dxa"/>
          </w:tcPr>
          <w:p>
            <w:pPr>
              <w:pStyle w:val="0"/>
              <w:jc w:val="center"/>
            </w:pPr>
            <w:r>
              <w:rPr>
                <w:sz w:val="24"/>
              </w:rPr>
              <w:t xml:space="preserve">3</w:t>
            </w:r>
          </w:p>
        </w:tc>
      </w:tr>
      <w:tr>
        <w:tc>
          <w:tcPr>
            <w:vMerge w:val="continue"/>
          </w:tcPr>
          <w:p/>
        </w:tc>
        <w:tc>
          <w:tcPr>
            <w:vMerge w:val="continue"/>
          </w:tcPr>
          <w:p/>
        </w:tc>
        <w:tc>
          <w:tcPr>
            <w:tcW w:w="4354" w:type="dxa"/>
          </w:tcPr>
          <w:p>
            <w:pPr>
              <w:pStyle w:val="0"/>
            </w:pPr>
            <w:r>
              <w:rPr>
                <w:sz w:val="24"/>
              </w:rPr>
              <w:t xml:space="preserve">Отсутствие проектов</w:t>
            </w:r>
          </w:p>
        </w:tc>
        <w:tc>
          <w:tcPr>
            <w:tcW w:w="1459" w:type="dxa"/>
          </w:tcPr>
          <w:p>
            <w:pPr>
              <w:pStyle w:val="0"/>
              <w:jc w:val="center"/>
            </w:pPr>
            <w:r>
              <w:rPr>
                <w:sz w:val="24"/>
              </w:rPr>
              <w:t xml:space="preserve">0</w:t>
            </w:r>
          </w:p>
        </w:tc>
      </w:tr>
      <w:tr>
        <w:tc>
          <w:tcPr>
            <w:tcW w:w="454" w:type="dxa"/>
            <w:vMerge w:val="restart"/>
          </w:tcPr>
          <w:p>
            <w:pPr>
              <w:pStyle w:val="0"/>
              <w:jc w:val="center"/>
            </w:pPr>
            <w:r>
              <w:rPr>
                <w:sz w:val="24"/>
              </w:rPr>
              <w:t xml:space="preserve">33</w:t>
            </w:r>
          </w:p>
        </w:tc>
        <w:tc>
          <w:tcPr>
            <w:tcW w:w="4354" w:type="dxa"/>
            <w:vMerge w:val="restart"/>
          </w:tcPr>
          <w:p>
            <w:pPr>
              <w:pStyle w:val="0"/>
            </w:pPr>
            <w:r>
              <w:rPr>
                <w:sz w:val="24"/>
              </w:rPr>
              <w:t xml:space="preserve">Органом местного самоуправления оказывается содействие в проведении опросов в части оценки результатов реализации системных мероприятий, направленных на развитие конкуренции в регионе (в том числе по определению уровня финансовой грамотности и финансовой доступности на территории муниципального образования)</w:t>
            </w:r>
          </w:p>
        </w:tc>
        <w:tc>
          <w:tcPr>
            <w:tcW w:w="4354" w:type="dxa"/>
          </w:tcPr>
          <w:p>
            <w:pPr>
              <w:pStyle w:val="0"/>
            </w:pPr>
            <w:r>
              <w:rPr>
                <w:sz w:val="24"/>
              </w:rPr>
              <w:t xml:space="preserve">Содействие оказывалось, на официальном сайте администрации муниципального образования в информационно-телекоммуникационной сети Интернет размещена информация об опросах</w:t>
            </w:r>
          </w:p>
        </w:tc>
        <w:tc>
          <w:tcPr>
            <w:tcW w:w="1459" w:type="dxa"/>
          </w:tcPr>
          <w:p>
            <w:pPr>
              <w:pStyle w:val="0"/>
              <w:jc w:val="center"/>
            </w:pPr>
            <w:r>
              <w:rPr>
                <w:sz w:val="24"/>
              </w:rPr>
              <w:t xml:space="preserve">4</w:t>
            </w:r>
          </w:p>
        </w:tc>
      </w:tr>
      <w:tr>
        <w:tc>
          <w:tcPr>
            <w:vMerge w:val="continue"/>
          </w:tcPr>
          <w:p/>
        </w:tc>
        <w:tc>
          <w:tcPr>
            <w:vMerge w:val="continue"/>
          </w:tcPr>
          <w:p/>
        </w:tc>
        <w:tc>
          <w:tcPr>
            <w:tcW w:w="4354" w:type="dxa"/>
          </w:tcPr>
          <w:p>
            <w:pPr>
              <w:pStyle w:val="0"/>
            </w:pPr>
            <w:r>
              <w:rPr>
                <w:sz w:val="24"/>
              </w:rPr>
              <w:t xml:space="preserve">Содействие оказывалось, на официальном сайте администрации муниципального образования в информационно-телекоммуникационной сети Интернет не размещена информация об опросах</w:t>
            </w:r>
          </w:p>
        </w:tc>
        <w:tc>
          <w:tcPr>
            <w:tcW w:w="1459" w:type="dxa"/>
          </w:tcPr>
          <w:p>
            <w:pPr>
              <w:pStyle w:val="0"/>
              <w:jc w:val="center"/>
            </w:pPr>
            <w:r>
              <w:rPr>
                <w:sz w:val="24"/>
              </w:rPr>
              <w:t xml:space="preserve">3</w:t>
            </w:r>
          </w:p>
        </w:tc>
      </w:tr>
      <w:tr>
        <w:tc>
          <w:tcPr>
            <w:vMerge w:val="continue"/>
          </w:tcPr>
          <w:p/>
        </w:tc>
        <w:tc>
          <w:tcPr>
            <w:vMerge w:val="continue"/>
          </w:tcPr>
          <w:p/>
        </w:tc>
        <w:tc>
          <w:tcPr>
            <w:tcW w:w="4354" w:type="dxa"/>
          </w:tcPr>
          <w:p>
            <w:pPr>
              <w:pStyle w:val="0"/>
            </w:pPr>
            <w:r>
              <w:rPr>
                <w:sz w:val="24"/>
              </w:rPr>
              <w:t xml:space="preserve">Содействие не оказывалось</w:t>
            </w:r>
          </w:p>
        </w:tc>
        <w:tc>
          <w:tcPr>
            <w:tcW w:w="1459" w:type="dxa"/>
          </w:tcPr>
          <w:p>
            <w:pPr>
              <w:pStyle w:val="0"/>
              <w:jc w:val="center"/>
            </w:pPr>
            <w:r>
              <w:rPr>
                <w:sz w:val="24"/>
              </w:rPr>
              <w:t xml:space="preserve">0</w:t>
            </w:r>
          </w:p>
        </w:tc>
      </w:tr>
      <w:tr>
        <w:tc>
          <w:tcPr>
            <w:tcW w:w="454" w:type="dxa"/>
            <w:vMerge w:val="restart"/>
          </w:tcPr>
          <w:p>
            <w:pPr>
              <w:pStyle w:val="0"/>
              <w:jc w:val="center"/>
            </w:pPr>
            <w:r>
              <w:rPr>
                <w:sz w:val="24"/>
              </w:rPr>
              <w:t xml:space="preserve">34</w:t>
            </w:r>
          </w:p>
        </w:tc>
        <w:tc>
          <w:tcPr>
            <w:tcW w:w="4354" w:type="dxa"/>
            <w:vMerge w:val="restart"/>
          </w:tcPr>
          <w:p>
            <w:pPr>
              <w:pStyle w:val="0"/>
            </w:pPr>
            <w:r>
              <w:rPr>
                <w:sz w:val="24"/>
              </w:rPr>
              <w:t xml:space="preserve">Органом местного самоуправления оказывается содействие в части размещения информационно-просветительских материалов по финансовым услугам</w:t>
            </w:r>
          </w:p>
        </w:tc>
        <w:tc>
          <w:tcPr>
            <w:tcW w:w="4354" w:type="dxa"/>
          </w:tcPr>
          <w:p>
            <w:pPr>
              <w:pStyle w:val="0"/>
            </w:pPr>
            <w:r>
              <w:rPr>
                <w:sz w:val="24"/>
              </w:rPr>
              <w:t xml:space="preserve">Информационно-просветительский материал по финансовым услугам размещен:</w:t>
            </w:r>
          </w:p>
          <w:p>
            <w:pPr>
              <w:pStyle w:val="0"/>
            </w:pPr>
            <w:r>
              <w:rPr>
                <w:sz w:val="24"/>
              </w:rPr>
              <w:t xml:space="preserve">- на официальном сайте администрации муниципального образования в информационно-телекоммуникационной сети Интернет;</w:t>
            </w:r>
          </w:p>
          <w:p>
            <w:pPr>
              <w:pStyle w:val="0"/>
            </w:pPr>
            <w:r>
              <w:rPr>
                <w:sz w:val="24"/>
              </w:rPr>
              <w:t xml:space="preserve">- не менее чем на двух социальных объектах (учреждения культуры, образования, здравоохранения, спорта и иные приравненные к ним объекты)</w:t>
            </w:r>
          </w:p>
        </w:tc>
        <w:tc>
          <w:tcPr>
            <w:tcW w:w="1459" w:type="dxa"/>
          </w:tcPr>
          <w:p>
            <w:pPr>
              <w:pStyle w:val="0"/>
              <w:jc w:val="center"/>
            </w:pPr>
            <w:r>
              <w:rPr>
                <w:sz w:val="24"/>
              </w:rPr>
              <w:t xml:space="preserve">4</w:t>
            </w:r>
          </w:p>
        </w:tc>
      </w:tr>
      <w:tr>
        <w:tc>
          <w:tcPr>
            <w:vMerge w:val="continue"/>
          </w:tcPr>
          <w:p/>
        </w:tc>
        <w:tc>
          <w:tcPr>
            <w:vMerge w:val="continue"/>
          </w:tcPr>
          <w:p/>
        </w:tc>
        <w:tc>
          <w:tcPr>
            <w:tcW w:w="4354" w:type="dxa"/>
          </w:tcPr>
          <w:p>
            <w:pPr>
              <w:pStyle w:val="0"/>
            </w:pPr>
            <w:r>
              <w:rPr>
                <w:sz w:val="24"/>
              </w:rPr>
              <w:t xml:space="preserve">Информационно-просветительский материал по финансовым услугам размещен:</w:t>
            </w:r>
          </w:p>
          <w:p>
            <w:pPr>
              <w:pStyle w:val="0"/>
            </w:pPr>
            <w:r>
              <w:rPr>
                <w:sz w:val="24"/>
              </w:rPr>
              <w:t xml:space="preserve">- на официальном сайте администрации муниципального образования в информационно-телекоммуникационной сети Интернет</w:t>
            </w:r>
          </w:p>
        </w:tc>
        <w:tc>
          <w:tcPr>
            <w:tcW w:w="1459" w:type="dxa"/>
          </w:tcPr>
          <w:p>
            <w:pPr>
              <w:pStyle w:val="0"/>
              <w:jc w:val="center"/>
            </w:pPr>
            <w:r>
              <w:rPr>
                <w:sz w:val="24"/>
              </w:rPr>
              <w:t xml:space="preserve">2</w:t>
            </w:r>
          </w:p>
        </w:tc>
      </w:tr>
      <w:tr>
        <w:tc>
          <w:tcPr>
            <w:vMerge w:val="continue"/>
          </w:tcPr>
          <w:p/>
        </w:tc>
        <w:tc>
          <w:tcPr>
            <w:vMerge w:val="continue"/>
          </w:tcPr>
          <w:p/>
        </w:tc>
        <w:tc>
          <w:tcPr>
            <w:tcW w:w="4354" w:type="dxa"/>
          </w:tcPr>
          <w:p>
            <w:pPr>
              <w:pStyle w:val="0"/>
            </w:pPr>
            <w:r>
              <w:rPr>
                <w:sz w:val="24"/>
              </w:rPr>
              <w:t xml:space="preserve">Содействие не оказывалось</w:t>
            </w:r>
          </w:p>
        </w:tc>
        <w:tc>
          <w:tcPr>
            <w:tcW w:w="1459" w:type="dxa"/>
          </w:tcPr>
          <w:p>
            <w:pPr>
              <w:pStyle w:val="0"/>
              <w:jc w:val="center"/>
            </w:pPr>
            <w:r>
              <w:rPr>
                <w:sz w:val="24"/>
              </w:rPr>
              <w:t xml:space="preserve">0</w:t>
            </w:r>
          </w:p>
        </w:tc>
      </w:tr>
    </w:tbl>
    <w:p>
      <w:pPr>
        <w:pStyle w:val="0"/>
        <w:jc w:val="both"/>
      </w:pPr>
      <w:r>
        <w:rPr>
          <w:sz w:val="24"/>
        </w:rPr>
      </w:r>
    </w:p>
    <w:p>
      <w:pPr>
        <w:pStyle w:val="0"/>
        <w:ind w:firstLine="540"/>
        <w:jc w:val="both"/>
      </w:pPr>
      <w:r>
        <w:rPr>
          <w:sz w:val="24"/>
        </w:rPr>
        <w:t xml:space="preserve">Источники: информация, представляемая органами местного самоуправления Мурманской области.</w:t>
      </w:r>
    </w:p>
    <w:p>
      <w:pPr>
        <w:pStyle w:val="0"/>
        <w:spacing w:before="240" w:lineRule="auto"/>
        <w:ind w:firstLine="540"/>
        <w:jc w:val="both"/>
      </w:pPr>
      <w:r>
        <w:rPr>
          <w:sz w:val="24"/>
        </w:rPr>
        <w:t xml:space="preserve">Определение в Рейтинге позиции (места) соответствующего муниципального образования в зависимости от административно-территориального деления в разрезе муниципальных округов, городских округов, закрытых административно-территориальных образований Мурманской области осуществляется путем сложения баллов.</w:t>
      </w:r>
    </w:p>
    <w:p>
      <w:pPr>
        <w:pStyle w:val="0"/>
        <w:jc w:val="both"/>
      </w:pPr>
      <w:r>
        <w:rPr>
          <w:sz w:val="24"/>
        </w:rPr>
        <w:t xml:space="preserve">(в ред. </w:t>
      </w:r>
      <w:hyperlink w:history="0" r:id="rId32" w:tooltip="Постановление Правительства Мурманской области от 26.03.2026 N 151-ПП &quot;О внесении изменений в некоторые постановления Правительства Мурманской области&quot; {КонсультантПлюс}">
        <w:r>
          <w:rPr>
            <w:sz w:val="24"/>
            <w:color w:val="0000ff"/>
          </w:rPr>
          <w:t xml:space="preserve">Постановления</w:t>
        </w:r>
      </w:hyperlink>
      <w:r>
        <w:rPr>
          <w:sz w:val="24"/>
        </w:rPr>
        <w:t xml:space="preserve"> Правительства Мурманской области от 26.03.2026 N 151-ПП)</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22"/>
      <w:headerReference w:type="first" r:id="rId22"/>
      <w:footerReference w:type="default" r:id="rId23"/>
      <w:footerReference w:type="first" r:id="rId23"/>
      <w:pgSz w:w="16838" w:h="11906" w:orient="landscape"/>
      <w:pgMar w:top="1133" w:right="1440" w:bottom="566" w:left="1440"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170"/>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Мурманской области от 28.07.2020 N 539-ПП</w:t>
            <w:br/>
            <w:t>(ред. от 26.03.2026)</w:t>
            <w:br/>
            <w:t>"О формировании рейтинга орга...</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31.08.2026</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190"/>
      </w:trPr>
      <w:tc>
        <w:tcPr>
          <w:tcW w:w="2700" w:type="pct"/>
          <w:vAlign w:val="center"/>
        </w:tcPr>
        <w:p>
          <w:pPr>
            <w:rPr>
              <w:rFonts w:ascii="Tahoma" w:hAnsi="Tahoma" w:cs="Tahoma"/>
            </w:rPr>
          </w:pPr>
          <w:r>
            <w:rPr>
              <w:rFonts w:ascii="Tahoma" w:hAnsi="Tahoma" w:cs="Tahoma"/>
              <w:sz w:val="16"/>
              <w:szCs w:val="16"/>
            </w:rPr>
            <w:t>Постановление Правительства Мурманской области от 28.07.2020 N 539-ПП</w:t>
            <w:br/>
            <w:t>(ред. от 26.03.2026)</w:t>
            <w:br/>
            <w:t>"О формировании рейтинга орга...</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31.08.2026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RLAW087&amp;n=112407&amp;date=31.08.2026&amp;dst=100005&amp;field=134" TargetMode = "External"/><Relationship Id="rId9" Type="http://schemas.openxmlformats.org/officeDocument/2006/relationships/hyperlink" Target="https://login.consultant.ru/link/?req=doc&amp;base=RLAW087&amp;n=134868&amp;date=31.08.2026&amp;dst=100005&amp;field=134" TargetMode = "External"/><Relationship Id="rId10" Type="http://schemas.openxmlformats.org/officeDocument/2006/relationships/hyperlink" Target="https://login.consultant.ru/link/?req=doc&amp;base=RLAW087&amp;n=145124&amp;date=31.08.2026&amp;dst=100124&amp;field=134" TargetMode = "External"/><Relationship Id="rId11" Type="http://schemas.openxmlformats.org/officeDocument/2006/relationships/hyperlink" Target="https://login.consultant.ru/link/?req=doc&amp;base=LAW&amp;n=526161&amp;date=31.08.2026&amp;dst=100051&amp;field=134" TargetMode = "External"/><Relationship Id="rId12" Type="http://schemas.openxmlformats.org/officeDocument/2006/relationships/hyperlink" Target="https://login.consultant.ru/link/?req=doc&amp;base=RLAW087&amp;n=145124&amp;date=31.08.2026&amp;dst=100125&amp;field=134" TargetMode = "External"/><Relationship Id="rId13" Type="http://schemas.openxmlformats.org/officeDocument/2006/relationships/hyperlink" Target="https://login.consultant.ru/link/?req=doc&amp;base=RLAW087&amp;n=134868&amp;date=31.08.2026&amp;dst=100005&amp;field=134" TargetMode = "External"/><Relationship Id="rId14" Type="http://schemas.openxmlformats.org/officeDocument/2006/relationships/hyperlink" Target="https://login.consultant.ru/link/?req=doc&amp;base=RLAW087&amp;n=145124&amp;date=31.08.2026&amp;dst=100129&amp;field=134" TargetMode = "External"/><Relationship Id="rId15" Type="http://schemas.openxmlformats.org/officeDocument/2006/relationships/hyperlink" Target="https://login.consultant.ru/link/?req=doc&amp;base=RLAW087&amp;n=145124&amp;date=31.08.2026&amp;dst=100130&amp;field=134" TargetMode = "External"/><Relationship Id="rId16" Type="http://schemas.openxmlformats.org/officeDocument/2006/relationships/hyperlink" Target="https://login.consultant.ru/link/?req=doc&amp;base=RLAW087&amp;n=145124&amp;date=31.08.2026&amp;dst=100131&amp;field=134" TargetMode = "External"/><Relationship Id="rId17" Type="http://schemas.openxmlformats.org/officeDocument/2006/relationships/hyperlink" Target="https://login.consultant.ru/link/?req=doc&amp;base=RLAW087&amp;n=145124&amp;date=31.08.2026&amp;dst=100131&amp;field=134" TargetMode = "External"/><Relationship Id="rId18" Type="http://schemas.openxmlformats.org/officeDocument/2006/relationships/hyperlink" Target="https://login.consultant.ru/link/?req=doc&amp;base=RLAW087&amp;n=145124&amp;date=31.08.2026&amp;dst=100131&amp;field=134" TargetMode = "External"/><Relationship Id="rId19" Type="http://schemas.openxmlformats.org/officeDocument/2006/relationships/hyperlink" Target="https://login.consultant.ru/link/?req=doc&amp;base=RLAW087&amp;n=145124&amp;date=31.08.2026&amp;dst=100132&amp;field=134" TargetMode = "External"/><Relationship Id="rId20" Type="http://schemas.openxmlformats.org/officeDocument/2006/relationships/hyperlink" Target="https://login.consultant.ru/link/?req=doc&amp;base=RLAW087&amp;n=134868&amp;date=31.08.2026&amp;dst=100005&amp;field=134" TargetMode = "External"/><Relationship Id="rId21" Type="http://schemas.openxmlformats.org/officeDocument/2006/relationships/hyperlink" Target="https://login.consultant.ru/link/?req=doc&amp;base=RLAW087&amp;n=145124&amp;date=31.08.2026&amp;dst=100137&amp;field=134" TargetMode = "External"/><Relationship Id="rId22" Type="http://schemas.openxmlformats.org/officeDocument/2006/relationships/header" Target="header2.xml"/><Relationship Id="rId23" Type="http://schemas.openxmlformats.org/officeDocument/2006/relationships/footer" Target="footer2.xml"/><Relationship Id="rId24" Type="http://schemas.openxmlformats.org/officeDocument/2006/relationships/hyperlink" Target="https://login.consultant.ru/link/?req=doc&amp;base=RLAW087&amp;n=145124&amp;date=31.08.2026&amp;dst=100138&amp;field=134" TargetMode = "External"/><Relationship Id="rId25" Type="http://schemas.openxmlformats.org/officeDocument/2006/relationships/hyperlink" Target="https://login.consultant.ru/link/?req=doc&amp;base=LAW&amp;n=540982&amp;date=31.08.2026&amp;dst=101860&amp;field=134" TargetMode = "External"/><Relationship Id="rId26" Type="http://schemas.openxmlformats.org/officeDocument/2006/relationships/hyperlink" Target="https://login.consultant.ru/link/?req=doc&amp;base=LAW&amp;n=540982&amp;date=31.08.2026&amp;dst=12218&amp;field=134" TargetMode = "External"/><Relationship Id="rId27" Type="http://schemas.openxmlformats.org/officeDocument/2006/relationships/hyperlink" Target="https://login.consultant.ru/link/?req=doc&amp;base=LAW&amp;n=540982&amp;date=31.08.2026&amp;dst=12219&amp;field=134" TargetMode = "External"/><Relationship Id="rId28" Type="http://schemas.openxmlformats.org/officeDocument/2006/relationships/hyperlink" Target="https://login.consultant.ru/link/?req=doc&amp;base=RLAW087&amp;n=145124&amp;date=31.08.2026&amp;dst=100139&amp;field=134" TargetMode = "External"/><Relationship Id="rId29" Type="http://schemas.openxmlformats.org/officeDocument/2006/relationships/hyperlink" Target="https://login.consultant.ru/link/?req=doc&amp;base=LAW&amp;n=458881&amp;date=31.08.2026" TargetMode = "External"/><Relationship Id="rId30" Type="http://schemas.openxmlformats.org/officeDocument/2006/relationships/hyperlink" Target="https://login.consultant.ru/link/?req=doc&amp;base=LAW&amp;n=458881&amp;date=31.08.2026" TargetMode = "External"/><Relationship Id="rId31" Type="http://schemas.openxmlformats.org/officeDocument/2006/relationships/hyperlink" Target="https://login.consultant.ru/link/?req=doc&amp;base=LAW&amp;n=458881&amp;date=31.08.2026" TargetMode = "External"/><Relationship Id="rId32" Type="http://schemas.openxmlformats.org/officeDocument/2006/relationships/hyperlink" Target="https://login.consultant.ru/link/?req=doc&amp;base=RLAW087&amp;n=145124&amp;date=31.08.2026&amp;dst=100140&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foot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Мурманской области от 28.07.2020 N 539-ПП
(ред. от 26.03.2026)
"О формировании рейтинга органов местного самоуправления муниципальных образований Мурманской области в части деятельности по содействию развитию конкуренции и обеспечению условий для благоприятного инвестиционного климата"
(вместе с "Методикой формирования рейтинга органов местного самоуправления муниципальных образований Мурманской области в части деятельности по содействию развитию конкуренции и обеспечению условий</dc:title>
  <dcterms:created xsi:type="dcterms:W3CDTF">2026-08-31T11:45:03Z</dcterms:created>
</cp:coreProperties>
</file>