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результатах деятельности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финансового отдела администрации Терского района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2024 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</w:pPr>
      <w:r/>
      <w:r/>
    </w:p>
    <w:p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Финансовый отдел администрации Терского района действует на основании Положения о финансовом отделе, утвержденного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Терского района от 28.05.2019 №500.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Финансовый отдел в своей деятельности руководствуется Конституцией Российской Федерации, Федеральными законами, законами Мурманской области и нормативными правовыми актами муниципального образования Терский район.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Основными задачами финансового отдела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реализация единой муниципальной политики в области финансов, бюджетов и налогов на уровне муниципального района;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-развитие и совершенствование бюджетного процесса и межбюджетных отношений на территории Терского района, совершенствование методов финансово-бюджетного планирования, порядка финансирования и составления отчетности;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исполнение бюджета муниципального образования Терский район;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исполнение бюджета муниципального образования городское поселение Умба Терского района;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осуществление в пределах своей компетенции финансового контроля;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организация казначейского исполнения бюджета муниципального образования Терский район и бюджета муниципального образования городское поселение Умба Терского района.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важный вопрос - это организация и обеспечение своевременной и качественной подготовки проекта решения о бюджете и прогноза консолидированного бюджета, исполнение бюджета и формирование бюджетной отчетности.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Положением о бюджетном процессе в Терском районе финансовый отдел организует непосредственное составление проекта бюджета Терского района, а также осуществляет предварительный, текущий и последующий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районного бюджета.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Бюджет муниципального образования Терский район на 2024 год утвержден решением Совета депутатов Терского района26 декабря 2023 года №61/682 (с изменениями) по доходам в сумме 761 206,33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ублей, по расходам 774 423,32 тыс.рублей, дефицит бюджета 13 216,99 тыс.рублей.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течение 2024 года поправки в решение о бюджете вносились 2 раза за счет внутреннего перераспределения и получения дополнительных соб</w:t>
      </w:r>
      <w:r>
        <w:rPr>
          <w:sz w:val="28"/>
          <w:szCs w:val="28"/>
        </w:rPr>
        <w:t xml:space="preserve">ственных доходов, дополнительно полученных безвозмездных поступлений из областного бюджета, остатков средств на едином счете бюджета на 01.01.2024 года и перераспределения бюджетных ассигнований между главными распорядителями в пределах сметных назначений.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районного бюджета за 2024 год составил 733 943,27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 при годовом назначении 761 206,33 тыс. руб., или исполнен на 96,4 % (в 2023 году исполнение 682 475,39 тыс.руб. при годовом назначении 696 024,90 тыс. руб., или исполнен на 98,1 %).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720"/>
        <w:jc w:val="both"/>
        <w:tabs>
          <w:tab w:val="num" w:pos="426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Налоговые и неналоговые доходы</w:t>
      </w:r>
      <w:r>
        <w:rPr>
          <w:sz w:val="28"/>
          <w:szCs w:val="28"/>
        </w:rPr>
        <w:t xml:space="preserve"> в 2024 году снизились по сравнению с предыдущим 2023 годом на 0,3 % (с 52 807,3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ублей до 52 645,4 тыс.рублей). Основными источниками наполнения бюджета являются: налог на доходы физических лиц, налоги на совокупный доход.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num" w:pos="426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Налоговые доходы</w:t>
      </w:r>
      <w:r>
        <w:rPr>
          <w:sz w:val="28"/>
          <w:szCs w:val="28"/>
        </w:rPr>
        <w:t xml:space="preserve"> снизились в 2024 году по сравнению с 2023 годом на 1 222,7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 и составили 46382,8 тыс.руб.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num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Поступления по </w:t>
      </w:r>
      <w:r>
        <w:rPr>
          <w:b/>
          <w:sz w:val="28"/>
          <w:szCs w:val="28"/>
        </w:rPr>
        <w:t xml:space="preserve">НДФЛ </w:t>
      </w:r>
      <w:r>
        <w:rPr>
          <w:sz w:val="28"/>
          <w:szCs w:val="28"/>
        </w:rPr>
        <w:t xml:space="preserve">в бюджет МО Терский район в 2024 году составили 36 549,5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 и увеличились в сравнении с 2023 годом на 6,5 % или 2 227,0 тыс.руб. за счет роста выплат по Указам и повышения МРОТ.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num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 2022 года стали поступать доходы от </w:t>
      </w:r>
      <w:r>
        <w:rPr>
          <w:b/>
          <w:sz w:val="28"/>
          <w:szCs w:val="28"/>
        </w:rPr>
        <w:t xml:space="preserve">акцизов по подакцизным товарам</w:t>
      </w:r>
      <w:r>
        <w:rPr>
          <w:sz w:val="28"/>
          <w:szCs w:val="28"/>
        </w:rPr>
        <w:t xml:space="preserve"> и составили в 2024 году 679,2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уб., рост к 2023 году составил 16%.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num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Поступления от </w:t>
      </w:r>
      <w:r>
        <w:rPr>
          <w:b/>
          <w:sz w:val="28"/>
          <w:szCs w:val="28"/>
        </w:rPr>
        <w:t xml:space="preserve">налогов на совокупный доход</w:t>
      </w:r>
      <w:r>
        <w:rPr>
          <w:sz w:val="28"/>
          <w:szCs w:val="28"/>
        </w:rPr>
        <w:t xml:space="preserve"> в бюджет МО Терский район в 2023 году составили 7 793,2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 и снизились в сравнении с 2023 годом на 34,6 % или 4 115,0 тыс.руб. за счет: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jc w:val="both"/>
        <w:tabs>
          <w:tab w:val="num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снижения поступлений по УСН на 2129,1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 связано со сменой объекта налогообложения, а также с миграцией налогоплательщиков. На основании представленных за 2023 год Уведомлений/Расчетов произведено уменьшение сумм налога, по упрощенной системе налогообложения, в </w:t>
      </w:r>
      <w:r>
        <w:rPr>
          <w:sz w:val="28"/>
          <w:szCs w:val="28"/>
        </w:rPr>
        <w:t xml:space="preserve">связи</w:t>
      </w:r>
      <w:r>
        <w:rPr>
          <w:sz w:val="28"/>
          <w:szCs w:val="28"/>
        </w:rPr>
        <w:t xml:space="preserve"> с чем образовавшаяся переплата по налогу за 2023 год в 2024 году в рамках внедрения института ЕНС отразилась в составе сальдо налогоплательщиков.;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jc w:val="both"/>
        <w:tabs>
          <w:tab w:val="num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снижения доходов по ЕСХН, полученных в 2024 году на 2 181,7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num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роста доходов от применения патентной системы налогообложения на 178,6 тыс. руб. произошел в связи с переносом срока уплаты налога за 2023 год на 09.01.2024 согласно п. 7 ст. 6.1 НК РФ.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num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Доходы по </w:t>
      </w:r>
      <w:r>
        <w:rPr>
          <w:b/>
          <w:sz w:val="28"/>
          <w:szCs w:val="28"/>
        </w:rPr>
        <w:t xml:space="preserve">государственной пошлине</w:t>
      </w:r>
      <w:r>
        <w:rPr>
          <w:sz w:val="28"/>
          <w:szCs w:val="28"/>
        </w:rPr>
        <w:t xml:space="preserve"> по делам, рассматриваемым в судах общей юрисдикции, мировыми судьями в 2024 году составили 1360,9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 и выросли по сравнению с 2023 годом на 671,6 тыс.руб. в связи с увеличением госпошлин за юридически значимые действия.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num" w:pos="426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Неналоговые доходы</w:t>
      </w:r>
      <w:r>
        <w:rPr>
          <w:sz w:val="28"/>
          <w:szCs w:val="28"/>
        </w:rPr>
        <w:t xml:space="preserve"> в 2024 году составили 6262,6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 увеличились в сравнении с 2023 годом на 960,8 тыс.руб., в том числе: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num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увеличились поступления от использования муниципального имущества на 363,4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уб., в связи с ростом стоимости арендной платы за земельные участки получаемые через аукционы, изменением (увеличения) состава имущества казны переданного в аренду;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num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снизился доход от платежей за негативное воздействие на окружающую среду на 203,4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уб., в связи с погашением задолженности плательщиком платы за выбросы загрязняющих веществ в атмосферный воздух стационарными объектами в 2023 году;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num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увеличился доход от платежей носящих разовый характер на 800,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уб., за счет: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роста суммы </w:t>
      </w:r>
      <w:r>
        <w:rPr>
          <w:sz w:val="28"/>
          <w:szCs w:val="28"/>
        </w:rPr>
        <w:t xml:space="preserve">штрафов, санкций, возмещения ущерба на 19,5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роста суммы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инициативных платежей от физических и юридических лиц на 58,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роста </w:t>
      </w:r>
      <w:r>
        <w:rPr>
          <w:sz w:val="28"/>
          <w:szCs w:val="28"/>
        </w:rPr>
        <w:t xml:space="preserve">прочих доходов от компенсации затрат бюджетов муниципальных районов на  1163,9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 от возврата дебиторской задолженности прошлых лет;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снижения суммы сделок по продаже имущества на </w:t>
      </w:r>
      <w:r>
        <w:rPr>
          <w:sz w:val="28"/>
          <w:szCs w:val="28"/>
        </w:rPr>
        <w:t xml:space="preserve">440</w:t>
      </w:r>
      <w:r>
        <w:rPr>
          <w:sz w:val="28"/>
          <w:szCs w:val="28"/>
        </w:rPr>
        <w:t xml:space="preserve">,8 тыс. руб.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продажа земельных участков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num" w:pos="426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Безвозмездные поступления</w:t>
      </w:r>
      <w:r>
        <w:rPr>
          <w:sz w:val="28"/>
          <w:szCs w:val="28"/>
        </w:rPr>
        <w:t xml:space="preserve"> в 2024 году исполнены на сумму 681 297,8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 или на 96,0 % от плана. По сравнению с 2023 годом доходы увеличились на 51629,7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2024 года проводилась  работа  по  снижению задолженности  по  платежам  в  бюджет.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 комиссией по обеспечению доходов бюджета Терского района, утвержденной распоряжением администрации Терского района от 08.07.2009 № 136, в течение 2024 года проведено четыре заседания комиссии, на которых  рассматривались вопросы: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выявлению причин неплатежей налогоплательщиками и полноты принимаемых мер руководством и собственниками (учредителями) к снижению образовавшейся задолженности по платежам в бюджет и внебюджетные фонды;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неформальной занятости населения.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Были приглашены руководители 9 предприятий (учреждений), ведущих хозяйственную деятельность на территории Терского района и 17 физических лиц (предпринимателей).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предприятий приглашены по вопросу выявления причин неплатежей в бюджет и внебюджетные фонды. Так же для выявления причин неплатежей были приглашены 2 налогоплательщиков и 15 арендаторов земельных участков.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работы комиссии по данным Управления ФНС по Мурманской области и </w:t>
      </w:r>
      <w:r>
        <w:rPr>
          <w:sz w:val="28"/>
          <w:szCs w:val="28"/>
        </w:rPr>
        <w:t xml:space="preserve">ОУМСиЗО</w:t>
      </w:r>
      <w:r>
        <w:rPr>
          <w:sz w:val="28"/>
          <w:szCs w:val="28"/>
        </w:rPr>
        <w:t xml:space="preserve"> администрации Терского района на 1 января 2025 года в консолидированный бюджет поступило налоговых доходов на сумму 484,8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 (из них НДФЛ – 434,2 тыс.руб., УСН – 48,3 тыс.руб., транспортный налог – 2,3 тыс.руб.  и от аренды за земельные участки 271,2 тыс.руб.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целях повышения качества управления бюдж</w:t>
      </w:r>
      <w:r>
        <w:rPr>
          <w:sz w:val="28"/>
          <w:szCs w:val="28"/>
        </w:rPr>
        <w:t xml:space="preserve">етным процессом, повышения эффективности использования средств областного бюджета, местного бюджета, осуществления текущего контроля за расходованием бюджетных средств, выданных на возвратной основе, организации оперативного учета дебиторской задолженности</w:t>
      </w:r>
      <w:r>
        <w:rPr>
          <w:sz w:val="28"/>
          <w:szCs w:val="28"/>
        </w:rPr>
        <w:t xml:space="preserve">, в соответствии с постановлением Администрации Терского района от 29.09.2009 № 440 «О порядке проведения мониторинга дебиторской задолженности перед бюджетом муниципального образования Терский район»  проведен мониторинг задолженности по платежам в бюджет</w:t>
      </w:r>
      <w:r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образования Терский район на 01.01.2025 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Аналитическая записка о результатах проведения мониторинга дебиторской задолженности, рассроченных и отсроченных платежей муниципального образования Терский район на 01.01.2024 г. размещена на сайте Терского района </w:t>
      </w:r>
      <w:r>
        <w:rPr>
          <w:sz w:val="28"/>
          <w:szCs w:val="28"/>
          <w:u w:val="single"/>
          <w:lang w:val="en-US"/>
        </w:rPr>
        <w:t xml:space="preserve">terskyrayon</w:t>
      </w:r>
      <w:r>
        <w:rPr>
          <w:sz w:val="28"/>
          <w:szCs w:val="28"/>
          <w:u w:val="single"/>
        </w:rPr>
        <w:t xml:space="preserve">.</w:t>
      </w:r>
      <w:r>
        <w:rPr>
          <w:sz w:val="28"/>
          <w:szCs w:val="28"/>
          <w:u w:val="single"/>
          <w:lang w:val="en-US"/>
        </w:rPr>
        <w:t xml:space="preserve">gov</w:t>
      </w:r>
      <w:r>
        <w:rPr>
          <w:sz w:val="28"/>
          <w:szCs w:val="28"/>
          <w:u w:val="single"/>
        </w:rPr>
        <w:t xml:space="preserve">-</w:t>
      </w:r>
      <w:r>
        <w:rPr>
          <w:sz w:val="28"/>
          <w:szCs w:val="28"/>
          <w:u w:val="single"/>
          <w:lang w:val="en-US"/>
        </w:rPr>
        <w:t xml:space="preserve">murman</w:t>
      </w:r>
      <w:r>
        <w:rPr>
          <w:sz w:val="28"/>
          <w:szCs w:val="28"/>
          <w:u w:val="single"/>
        </w:rPr>
        <w:t xml:space="preserve">.</w:t>
      </w:r>
      <w:r>
        <w:rPr>
          <w:sz w:val="28"/>
          <w:szCs w:val="28"/>
          <w:u w:val="single"/>
          <w:lang w:val="en-US"/>
        </w:rPr>
        <w:t xml:space="preserve">ru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По информации Управления ФНС по Мурманской области на 1 января </w:t>
      </w:r>
      <w:r>
        <w:rPr>
          <w:sz w:val="28"/>
          <w:szCs w:val="28"/>
        </w:rPr>
        <w:t xml:space="preserve">2025 года, переданной в электронном виде согласно приказа Министерства финансов Российской Федерации и Федеральной налоговой службы № 65н от 30.06.2008 за 12 месяцев 2024 года по налогам зачисляемым в бюджет МО Терский район недоимка снизилась на 136,2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уб., дебиторская задолженность снизилась на 75,3 тыс.руб., по налогам зачисляемым в бюджет МО ГП Умба Терского района недоимка снизилась на 211,1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уб., дебиторская задолженность снизилась на 83,1 тыс.руб.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неналоговым доходам произошел снижение дебиторской задолженности по обоим бюджетам на 10,5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 по бюджету МО Терский район, на 93,9 тыс.руб. по бюджету МО ГП Умба Терского района, недоимка снизилась на 72,0 тыс.руб. и на 153,7 тыс.руб. соответственно. Негативное влияние на дебиторскую задолж</w:t>
      </w:r>
      <w:r>
        <w:rPr>
          <w:sz w:val="28"/>
          <w:szCs w:val="28"/>
        </w:rPr>
        <w:t xml:space="preserve">енность и недоимку оказывает рост основного долга и пеней у небольшого количества арендаторов земельных участков с наибольшей долей задолженности в общем объеме, а также рост задолженности от сдачи имущества, составляющего казну МО ГП Умба Терского района.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Финансовый отдел как администратор доходов с 2015 года предоставляет информацию, необходимую для уплаты денежных средств физическими и юридическими лица</w:t>
      </w:r>
      <w:r>
        <w:rPr>
          <w:sz w:val="28"/>
          <w:szCs w:val="28"/>
        </w:rPr>
        <w:t xml:space="preserve">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(ГИС ГМП).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Финансовым отделом для получения информации о распределении единого налогового платежа (сведений о поступлениях от юридических лиц налоговых платежей) получен доступ через региональную систему СМЭВ в АИС «</w:t>
      </w:r>
      <w:r>
        <w:rPr>
          <w:sz w:val="28"/>
          <w:szCs w:val="28"/>
          <w:lang w:val="en-US"/>
        </w:rPr>
        <w:t xml:space="preserve">SMART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ROUT</w:t>
      </w:r>
      <w:r>
        <w:rPr>
          <w:sz w:val="28"/>
          <w:szCs w:val="28"/>
        </w:rPr>
        <w:t xml:space="preserve">», ведется работа.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09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бюджетной росписи муниципального образования Терский район за 2024 год составил 740 679,96тыс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ублей при годовом назначении 755 447,96тыс.рублей, или исполнен на 98,0% (в 2023 году исполнение 674 237,49 тыс.рублей при годовом назначении 696 057,54 тыс. рублей, или 96,9%).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исполнения бюджета сохранена его социальная направленность.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по разделам бюджетной росписи бюджетной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разделу 01 «Общегосударственные вопросы» 121 581,45тыс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ублей или на 98,2% от уточненного плана;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разделу 03 «Национальная безопасность и правоохранительная деятельность» 7 429,64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ублей или на 99,7 % от уточненного плана;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разделу 04 «Национальная экономика» 90 530,98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ублей или на 98,2 % от уточненного плана;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разделу 05 «Жилищно-коммунальное хозяйство» 5 957,95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ублей или на 85,9 % от уточненного плана;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по разделу 07 «Образование» 335 413,79тыс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ублей или 98,9 %;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разделу 08 «Культура и кинематография» 40 968,93 тыс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ублей или на 98,7%;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разделу 09 «Здравоохранение» 4 959,75 тыс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ублей или на 99,0 %;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разделу 10 «Социальная политика» 36 854,11 тыс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ублей или 87,7 %;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разделу 11 «Физическая культура и спорт» 15 358,04 тыс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ублей или 97,3 %;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разделу 12 «Средства массовой информации» 6 776,78 тыс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ублей или 100,0 %;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разделу 13 «Обслуживание государственного и муниципального долга» 2,02 тыс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ублей или на 13,5 %;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разделу 14 «Межбюджетные трансферты общего характера бюджетам субъектов Российской Федерации и муниципальных образований»74 846,52 тыс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ублей или 100,0%.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Дефицит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 6 736,69 тыс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ублей. </w:t>
      </w:r>
      <w:r>
        <w:rPr>
          <w:rFonts w:ascii="Times New Roman" w:hAnsi="Times New Roman" w:cs="Times New Roman"/>
          <w:sz w:val="28"/>
          <w:szCs w:val="28"/>
        </w:rPr>
        <w:t xml:space="preserve">Остатки средств на едином счете бюджета МО Терский район на 01.01.2025 составили 3 117,38 тыс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ублей, в том числе за счет целевых средств 0,00 тыс. рублей, собственных средств 3 117,38тыс.рублей.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Финансовый отдел с 2019 года в соответс</w:t>
      </w:r>
      <w:r>
        <w:rPr>
          <w:sz w:val="28"/>
          <w:szCs w:val="28"/>
        </w:rPr>
        <w:t xml:space="preserve">твии с Положением о бюджетном процессе в муниципальном образовании городское поселение Умба Терского района организует непосредственное составление проекта бюджета муниципального образования городское поселение Умба Терского района, а также его исполнение.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муниципального образования ГП Умба на 2024 год утверж</w:t>
      </w:r>
      <w:r>
        <w:rPr>
          <w:sz w:val="28"/>
          <w:szCs w:val="28"/>
        </w:rPr>
        <w:t xml:space="preserve">ден решением Совета депутатов муниципального образования городское поселение Умба Терского района 22 декабря 2023 года № 34 (с изменениями) по доходам в сумме 141 445,26 тыс. рублей, по расходам 144 733,40 тыс. рублей, дефицит бюджета 3 288,14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течение 2024 года поправки в решение о бюджете вносились 3 раза за счет внутреннего перераспределения и получения дополнительных соб</w:t>
      </w:r>
      <w:r>
        <w:rPr>
          <w:sz w:val="28"/>
          <w:szCs w:val="28"/>
        </w:rPr>
        <w:t xml:space="preserve">ственных доходов, дополнительно полученных безвозмездных поступлений из областного бюджета, остатков средств на едином счете бюджета на 01.01.2024 года и перераспределения бюджетных ассигнований между главными распорядителями в пределах сметных назначений.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</w:t>
      </w:r>
      <w:r>
        <w:rPr>
          <w:sz w:val="28"/>
          <w:szCs w:val="28"/>
        </w:rPr>
        <w:t xml:space="preserve">бъем доходов бюджета МО ГП Умба за 2024 год составил 136 217,27 тыс. руб. при годовом назначении 141 445,26 тыс. руб., или исполнен на 96,3 % (в 2023 году исполнение 115 879,36 тыс. руб. при годовом назначении 134 309,88 тыс. руб., или исполнен на 86,3 %).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720"/>
        <w:jc w:val="both"/>
        <w:tabs>
          <w:tab w:val="num" w:pos="426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Налоговые и неналоговые доходы</w:t>
      </w:r>
      <w:r>
        <w:rPr>
          <w:sz w:val="28"/>
          <w:szCs w:val="28"/>
        </w:rPr>
        <w:t xml:space="preserve"> в 2024 году увеличились по сравнению с предыдущим 2023 годом на 2,7% (с 27 933,2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 до 28 678,2 тыс.руб.). Основными источниками наполнения бюджета являются: налог на доходы физических лиц, акцизы по подакцизным товарам.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num" w:pos="426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Налоговые доходы</w:t>
      </w:r>
      <w:r>
        <w:rPr>
          <w:sz w:val="28"/>
          <w:szCs w:val="28"/>
        </w:rPr>
        <w:t xml:space="preserve"> увеличились в 2024 году по сравнению с 2023 годом на 159,3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 и составили 24845,6 тыс.руб.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num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Поступления по </w:t>
      </w:r>
      <w:r>
        <w:rPr>
          <w:b/>
          <w:sz w:val="28"/>
          <w:szCs w:val="28"/>
        </w:rPr>
        <w:t xml:space="preserve">НДФЛ </w:t>
      </w:r>
      <w:r>
        <w:rPr>
          <w:sz w:val="28"/>
          <w:szCs w:val="28"/>
        </w:rPr>
        <w:t xml:space="preserve">в бюджет МО ГП Умба в 2024 году составили 12 158,4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 и увеличились в сравнении с 2023 годом на 7,7 % или 873,6 тыс.руб. за счет роста выплат по Указам, повышение МРОТ и индексации заработной платы у других категорий работников.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num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Доходы от </w:t>
      </w:r>
      <w:r>
        <w:rPr>
          <w:b/>
          <w:sz w:val="28"/>
          <w:szCs w:val="28"/>
        </w:rPr>
        <w:t xml:space="preserve">акцизов по подакцизным товарам</w:t>
      </w:r>
      <w:r>
        <w:rPr>
          <w:sz w:val="28"/>
          <w:szCs w:val="28"/>
        </w:rPr>
        <w:t xml:space="preserve"> в 2024 году составили 7381,5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 и увеличились по сравнению с 2023 годом на 15,9 % или 1014,7 тыс.руб. за счет роста стоимости ГСМ.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num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Поступления от </w:t>
      </w:r>
      <w:r>
        <w:rPr>
          <w:b/>
          <w:sz w:val="28"/>
          <w:szCs w:val="28"/>
        </w:rPr>
        <w:t xml:space="preserve">налогов на совокупный доход</w:t>
      </w:r>
      <w:r>
        <w:rPr>
          <w:sz w:val="28"/>
          <w:szCs w:val="28"/>
        </w:rPr>
        <w:t xml:space="preserve"> в бюджет МО ГП Умба в 2024 году составили 2774,0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 и снизились в сравнении с 2023 годом на 38,9 % или 1769,6 тыс.руб. за счет: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jc w:val="both"/>
        <w:tabs>
          <w:tab w:val="num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снижения поступлений по </w:t>
      </w:r>
      <w:r>
        <w:rPr>
          <w:b/>
          <w:sz w:val="28"/>
          <w:szCs w:val="28"/>
        </w:rPr>
        <w:t xml:space="preserve">УСН</w:t>
      </w:r>
      <w:r>
        <w:rPr>
          <w:sz w:val="28"/>
          <w:szCs w:val="28"/>
        </w:rPr>
        <w:t xml:space="preserve"> на 1800,4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 в связи со сменой объектов налогообложения, а также с миграцией налогоплательщиков. На основании представленных за 202</w:t>
      </w:r>
      <w:r>
        <w:rPr>
          <w:sz w:val="28"/>
          <w:szCs w:val="28"/>
        </w:rPr>
        <w:t xml:space="preserve">3 год Уведомлений/Расчетов произведено уменьшение сумм налога, по упрощенной системе налогообложения, в связи, с чем образовавшаяся переплата по налогу за 2023 год в 2024 году в рамках внедрения института ЕНС отразилась в составе сальдо налогоплательщиков;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jc w:val="both"/>
        <w:tabs>
          <w:tab w:val="num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рост доходов по </w:t>
      </w:r>
      <w:r>
        <w:rPr>
          <w:b/>
          <w:sz w:val="28"/>
          <w:szCs w:val="28"/>
        </w:rPr>
        <w:t xml:space="preserve">ЕСХН</w:t>
      </w:r>
      <w:r>
        <w:rPr>
          <w:sz w:val="28"/>
          <w:szCs w:val="28"/>
        </w:rPr>
        <w:t xml:space="preserve">, полученных в 2024 г. на 30,8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709"/>
        <w:jc w:val="both"/>
        <w:tabs>
          <w:tab w:val="num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Поступления от </w:t>
      </w:r>
      <w:r>
        <w:rPr>
          <w:b/>
          <w:sz w:val="28"/>
          <w:szCs w:val="28"/>
        </w:rPr>
        <w:t xml:space="preserve">налогов на имущество</w:t>
      </w:r>
      <w:r>
        <w:rPr>
          <w:sz w:val="28"/>
          <w:szCs w:val="28"/>
        </w:rPr>
        <w:t xml:space="preserve"> в 2024 году составили 2531,8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 и увеличились в сравнении с 2023 годом на 1,6% или 40,5 тыс.руб. за счет: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709"/>
        <w:jc w:val="both"/>
        <w:tabs>
          <w:tab w:val="num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рост поступлений по </w:t>
      </w:r>
      <w:r>
        <w:rPr>
          <w:b/>
          <w:sz w:val="28"/>
          <w:szCs w:val="28"/>
        </w:rPr>
        <w:t xml:space="preserve">земельному налогу</w:t>
      </w:r>
      <w:r>
        <w:rPr>
          <w:sz w:val="28"/>
          <w:szCs w:val="28"/>
        </w:rPr>
        <w:t xml:space="preserve"> на 61,4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709"/>
        <w:jc w:val="both"/>
        <w:tabs>
          <w:tab w:val="num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снижение поступлений по </w:t>
      </w:r>
      <w:r>
        <w:rPr>
          <w:b/>
          <w:sz w:val="28"/>
          <w:szCs w:val="28"/>
        </w:rPr>
        <w:t xml:space="preserve">налогу на имущество физических лиц</w:t>
      </w:r>
      <w:r>
        <w:rPr>
          <w:sz w:val="28"/>
          <w:szCs w:val="28"/>
        </w:rPr>
        <w:t xml:space="preserve"> на 20,9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 в связи с переплатами по налогу в 2023 году.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num" w:pos="426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Неналоговые доходы</w:t>
      </w:r>
      <w:r>
        <w:rPr>
          <w:sz w:val="28"/>
          <w:szCs w:val="28"/>
        </w:rPr>
        <w:t xml:space="preserve"> в 2024 году составили 3832,6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 и выросли в сравнении с 2023 годом на 18,0% или 585,7 тыс.руб., в том числе за счет: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num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роста поступления от использования муниципального имущества на 318,1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уб., в связи с ростом стоимости арендной платы за земельные участки получаемые через аукционы;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роста доходов от платежей носящих разовый характер на 267,6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уб., за счет: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роста </w:t>
      </w:r>
      <w:r>
        <w:rPr>
          <w:sz w:val="28"/>
          <w:szCs w:val="28"/>
        </w:rPr>
        <w:t xml:space="preserve">прочих доходов от компенсации затрат  бюджетов муниципальных районов на 46,1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 от компенсации затрат за экспертизу причиненного ущерба муниципального имущества;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роста суммы </w:t>
      </w:r>
      <w:r>
        <w:rPr>
          <w:sz w:val="28"/>
          <w:szCs w:val="28"/>
        </w:rPr>
        <w:t xml:space="preserve">инициативных платежей от физических и юридических лиц на 246,0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суммы сделок по продаже имущества на 23,0 тыс. руб.- продажа земельных участков;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снижения </w:t>
      </w:r>
      <w:r>
        <w:rPr>
          <w:sz w:val="28"/>
          <w:szCs w:val="28"/>
        </w:rPr>
        <w:t xml:space="preserve">от штрафов, санкций, возмещения ущерба на 1,5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num" w:pos="42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num" w:pos="426" w:leader="none"/>
        </w:tabs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Безвозмездные поступления</w:t>
      </w:r>
      <w:r>
        <w:rPr>
          <w:sz w:val="28"/>
          <w:szCs w:val="28"/>
        </w:rPr>
        <w:t xml:space="preserve"> в 2024 году по МО ГП Умба исполнены на сумму 107539,0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 или на 95,2% от плана. По сравнению с 2023 годом доходы увеличились на 19592,9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бюджетной росписи муниципального образования гор</w:t>
      </w:r>
      <w:r>
        <w:rPr>
          <w:sz w:val="28"/>
          <w:szCs w:val="28"/>
        </w:rPr>
        <w:t xml:space="preserve">одское поселение Умба Терского района за 2024 год составил 134 094,31 тыс. рублей при годовом назначении 141 375,98 тыс. рублей, или исполнен на 94,8% (в 2023 году исполнение 115 810,59 тыс. рублей при годовом назначении 137 980,36 тыс. рублей, или 83,9%).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по разделам бюджетной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разделу 01 «Общегосударственные вопросы» 2 965,59 тыс. рублей или на 88,4 % от уточненного плана;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разделу 02 «Национальная оборона» 744,79 тыс. рублей или на 100,0 % от уточненного плана;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разделу 03 «Национальная безопасность и правоохранительная деятельность» 105,01 тыс. рублей или на 100,0 % от уточненного плана;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разделу 04 «Национальная экономика» 26 046,81 тыс. рублей или на 92,0 % от уточненного плана;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разделу 05 «Жилищно-коммунальное хозяйство» 75 457,78 тыс. рублей или на 94,2 % от уточненного плана;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разделу 06 «Охрана окружающей среды» 495,87 тыс. рублей или на 100,0 % от уточненного плана;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разделу 08 «Культура и кинематография» 27 902,06 тыс. рублей или на 100,0% от уточненного плана;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разделу 10 «Социальная политика» 376,40 тыс. рублей или 100,0% от уточненного плана;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Профицит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составил 2 122,96 тыс. рублей. Остатки средств на едином счете бюджета МО городское поселение Умба Терского района на 01.01.2025 составили 6 082,41 тыс. рублей, в том числе за счет целевых средств 0,00 тыс. рублей, собственных средств 6 082,41 тыс. 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2024 года в первоочередном порядке производилось финансирование расходов, связанных с выплатой заработной платы, расходов на питание детей в школах и дошкольных учреждениях, оплата бюджетными и автономными учреждениями коммунальных услуг.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Порядком исполнения сводной бюджетной росписи в 2024 году специалистами финансового отдела совместно с главными распорядителями бюджетных средств в течение года производили уточнение, перемещение бюджетных ассигнований по каждому </w:t>
      </w:r>
      <w:r>
        <w:rPr>
          <w:sz w:val="28"/>
          <w:szCs w:val="28"/>
        </w:rPr>
        <w:t xml:space="preserve">получателю</w:t>
      </w:r>
      <w:r>
        <w:rPr>
          <w:sz w:val="28"/>
          <w:szCs w:val="28"/>
        </w:rPr>
        <w:t xml:space="preserve">.В</w:t>
      </w:r>
      <w:r>
        <w:rPr>
          <w:sz w:val="28"/>
          <w:szCs w:val="28"/>
        </w:rPr>
        <w:t xml:space="preserve"> ходе исполнения расходных обязательств в течение 2024 года в финансовый отдел были предъявлены главными распорядителями бюджетных средств обращения на уточнение бюджетной росписи. </w:t>
      </w:r>
      <w:r>
        <w:rPr>
          <w:sz w:val="28"/>
          <w:szCs w:val="28"/>
        </w:rPr>
        <w:t xml:space="preserve">Соответственно финансовым</w:t>
      </w:r>
      <w:r>
        <w:rPr>
          <w:sz w:val="28"/>
          <w:szCs w:val="28"/>
        </w:rPr>
        <w:t xml:space="preserve"> отделом были оформлены 185 справок об изменении сводной бюджетной росписи бюджета муниципального образования Терский район и 92 справки об изменении сводной бюджетной росписи бюджета муниципального образования городское поселение Умба Терского района.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Финансовым отделом своевременно </w:t>
      </w:r>
      <w:r>
        <w:rPr>
          <w:sz w:val="28"/>
          <w:szCs w:val="28"/>
        </w:rPr>
        <w:t xml:space="preserve">подготовлены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Совета депутатов Терского района «О бюджете муниципального образования Терский район на 2025 год и на плановый период 2026 и 2027 годов»;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Совета депутатов муниципального образования городское поселение Умба Терского района «О бюджете муниципального образования городское поселение Умба Терского района на 2025 год и на плановый период 2026 и 2027 годов»;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Проект постановления «</w:t>
      </w:r>
      <w:r>
        <w:rPr>
          <w:bCs/>
          <w:sz w:val="28"/>
          <w:szCs w:val="28"/>
        </w:rPr>
        <w:t xml:space="preserve">Об основных направлениях бюджетной политики муниципального образования Терский район на 2025 год и на плановый период 2026 и 2027 годов»;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Проект постановления «</w:t>
      </w:r>
      <w:r>
        <w:rPr>
          <w:bCs/>
          <w:sz w:val="28"/>
          <w:szCs w:val="28"/>
        </w:rPr>
        <w:t xml:space="preserve">Об основных направлениях бюджетной политики </w:t>
      </w:r>
      <w:r>
        <w:rPr>
          <w:sz w:val="28"/>
          <w:szCs w:val="28"/>
        </w:rPr>
        <w:t xml:space="preserve">муниципального образования городское поселение Умба Терского района</w:t>
      </w:r>
      <w:r>
        <w:rPr>
          <w:bCs/>
          <w:sz w:val="28"/>
          <w:szCs w:val="28"/>
        </w:rPr>
        <w:t xml:space="preserve"> на 2025 год и на плановый период 2026 и 2027 годов»;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«</w:t>
      </w:r>
      <w:r>
        <w:rPr>
          <w:bCs/>
          <w:sz w:val="28"/>
          <w:szCs w:val="28"/>
        </w:rPr>
        <w:t xml:space="preserve">Об основных направлениях налоговой политики муниципального образования Терский район на 2025 год и на плановый период 2026 и 2027 годов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«</w:t>
      </w:r>
      <w:r>
        <w:rPr>
          <w:bCs/>
          <w:sz w:val="28"/>
          <w:szCs w:val="28"/>
        </w:rPr>
        <w:t xml:space="preserve">Об основных направлениях налоговой политики </w:t>
      </w:r>
      <w:r>
        <w:rPr>
          <w:sz w:val="28"/>
          <w:szCs w:val="28"/>
        </w:rPr>
        <w:t xml:space="preserve">муниципального образования городское поселение Умба Терского района</w:t>
      </w:r>
      <w:r>
        <w:rPr>
          <w:bCs/>
          <w:sz w:val="28"/>
          <w:szCs w:val="28"/>
        </w:rPr>
        <w:t xml:space="preserve"> на 2025 год и на плановый период 2026 и 2027 годов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«</w:t>
      </w:r>
      <w:r>
        <w:rPr>
          <w:bCs/>
          <w:sz w:val="28"/>
          <w:szCs w:val="28"/>
        </w:rPr>
        <w:t xml:space="preserve">Об основных направлениях долговой политики муниципального образования Терский район на 2025 год и на плановый период 2026 и 2027 годов»;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«</w:t>
      </w:r>
      <w:r>
        <w:rPr>
          <w:bCs/>
          <w:sz w:val="28"/>
          <w:szCs w:val="28"/>
        </w:rPr>
        <w:t xml:space="preserve">Об основных направлениях долговой политики </w:t>
      </w:r>
      <w:r>
        <w:rPr>
          <w:sz w:val="28"/>
          <w:szCs w:val="28"/>
        </w:rPr>
        <w:t xml:space="preserve">муниципального образования городское поселение Умба Терского района</w:t>
      </w:r>
      <w:r>
        <w:rPr>
          <w:bCs/>
          <w:sz w:val="28"/>
          <w:szCs w:val="28"/>
        </w:rPr>
        <w:t xml:space="preserve"> на 2025 год и на плановый период 2026 и 2027 годов»;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проекта решений Совета депутатов Терского района на уточнение бюджета </w:t>
      </w:r>
      <w:r>
        <w:rPr>
          <w:sz w:val="28"/>
          <w:szCs w:val="28"/>
        </w:rPr>
        <w:t xml:space="preserve">предоставлены</w:t>
      </w:r>
      <w:r>
        <w:rPr>
          <w:sz w:val="28"/>
          <w:szCs w:val="28"/>
        </w:rPr>
        <w:t xml:space="preserve"> на рассмотрение;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проекта решений Совета депутатов муниципального образования городское поселение Умба Терского района на уточнение бюджета предоставлены на рассмотрение;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постановлений администрации Терского района и решений Совета депутатов Терского района по исполнению бюджета МО Терский район за 2023 год, за первый, второй, третий квартал 2024 года;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</w:t>
      </w:r>
      <w:r>
        <w:rPr>
          <w:sz w:val="28"/>
          <w:szCs w:val="28"/>
        </w:rPr>
        <w:t xml:space="preserve">овлений администрации Терского района и решений Совета депутатов муниципального образования городское поселение Умба Терского района по исполнению бюджета МО городское поселение Умба Терского района за 2023 год, за первый, второй, третий квартал 2024 года;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п</w:t>
      </w:r>
      <w:r>
        <w:rPr>
          <w:sz w:val="28"/>
          <w:szCs w:val="28"/>
        </w:rPr>
        <w:t xml:space="preserve">роект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внесении изменений в перечень главных администраторов доходов бюджета муниципального образования Терский район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«</w:t>
      </w:r>
      <w:r>
        <w:rPr>
          <w:bCs/>
          <w:sz w:val="28"/>
          <w:szCs w:val="28"/>
        </w:rPr>
        <w:t xml:space="preserve">О внесении изменений в перечень главных администраторов доходов бюджета муниципального образования городское поселение Умба Терского района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«</w:t>
      </w:r>
      <w:r>
        <w:rPr>
          <w:bCs/>
          <w:sz w:val="28"/>
          <w:szCs w:val="28"/>
        </w:rPr>
        <w:t xml:space="preserve">О внесении изменений в перечень главных </w:t>
      </w:r>
      <w:r>
        <w:rPr>
          <w:bCs/>
          <w:sz w:val="28"/>
          <w:szCs w:val="28"/>
        </w:rPr>
        <w:t xml:space="preserve">администраторов источников финансирования дефицита бюджета муниципального образования</w:t>
      </w:r>
      <w:r>
        <w:rPr>
          <w:bCs/>
          <w:sz w:val="28"/>
          <w:szCs w:val="28"/>
        </w:rPr>
        <w:t xml:space="preserve"> Терский район»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>
        <w:t xml:space="preserve">«</w:t>
      </w:r>
      <w:r>
        <w:rPr>
          <w:sz w:val="28"/>
          <w:szCs w:val="28"/>
        </w:rPr>
        <w:t xml:space="preserve">О внесении изменений в Положение о мерах по обеспечению исполнения бюджета муниципального образования Терский район</w:t>
      </w:r>
      <w: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«Об особенностях реализации решения Совета депутатов Терского района «О бюджете муниципального образования Терский район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</w:t>
      </w:r>
      <w:r>
        <w:rPr>
          <w:sz w:val="28"/>
        </w:rPr>
        <w:t xml:space="preserve"> и на плановый период 202</w:t>
      </w:r>
      <w:r>
        <w:rPr>
          <w:sz w:val="28"/>
        </w:rPr>
        <w:t xml:space="preserve">6</w:t>
      </w:r>
      <w:r>
        <w:rPr>
          <w:sz w:val="28"/>
        </w:rPr>
        <w:t xml:space="preserve"> и 202</w:t>
      </w:r>
      <w:r>
        <w:rPr>
          <w:sz w:val="28"/>
        </w:rPr>
        <w:t xml:space="preserve">7</w:t>
      </w:r>
      <w:r>
        <w:rPr>
          <w:sz w:val="28"/>
        </w:rPr>
        <w:t xml:space="preserve"> годов</w:t>
      </w:r>
      <w:r>
        <w:rPr>
          <w:sz w:val="28"/>
          <w:szCs w:val="28"/>
        </w:rPr>
        <w:t xml:space="preserve">»</w:t>
      </w:r>
      <w: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>
        <w:rPr>
          <w:b/>
        </w:rPr>
        <w:t xml:space="preserve">«</w:t>
      </w:r>
      <w:r>
        <w:rPr>
          <w:sz w:val="28"/>
          <w:szCs w:val="28"/>
        </w:rPr>
        <w:t xml:space="preserve">О внесении изменений в Положение о мерах по обеспечению исполнения бюджета муниципального образования городское поселение Умба Терского района</w:t>
      </w:r>
      <w: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«Об особенностях </w:t>
      </w:r>
      <w:r>
        <w:rPr>
          <w:sz w:val="28"/>
          <w:szCs w:val="28"/>
        </w:rPr>
        <w:t xml:space="preserve">реализации решения Совета депутатов муниципального образования</w:t>
      </w:r>
      <w:r>
        <w:rPr>
          <w:sz w:val="28"/>
          <w:szCs w:val="28"/>
        </w:rPr>
        <w:t xml:space="preserve"> городское поселение Умба Терского района «О бюджете муниципального образования городское поселение Умба Терского района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 годов»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 2024 год разработано и утверждено 71 приказов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финансового отдела.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Первоочередной задачей исполнения бюджета является обеспечение работников муниципальных учреждений выплатой заработной платы. Просроченной кредиторской задолженности по заработной плате работникам учреждений бюджетной сферы не имеется.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Ежедневно осуществляется: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предварительный контроль, прием, отклонение и обработка документов исполнения;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предварительный контроль, обработка платежных поручений;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распечатка и выдача выписок;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зачисление, обработка и сверка доходов.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Финансовым отделом ежемесячно проводилась проверка представленной месячной отчетности распорядителями средств районного бюджета и поселениями района.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Составлялся отчет об исполнении консолидированного бюджета Терского района и представлялся в Минфин Мурманской области своевременно.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Ежеквартально осуществлялся прием отчетности от муниципальных учреждений и поселений района, проводилась проверка, составлялся и представлялся отчет об исполнении консолидированного бюджета района.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Заключались соглашения и заполнялись формуляры в государственной интегрированной информационной системе «Электронный бюджет».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Заключались соглашения в программном комплексе «Реестр соглашений» системы «Бюджет-</w:t>
      </w:r>
      <w:r>
        <w:rPr>
          <w:sz w:val="28"/>
          <w:szCs w:val="28"/>
          <w:highlight w:val="white"/>
          <w:lang w:val="en-US"/>
        </w:rPr>
        <w:t xml:space="preserve">Next</w:t>
      </w:r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Представлен реестр расходных обязательств муниципального образования Терский район и муниципального образования городское поселение Умба Терского района.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Делались заключения на проекты решений о бюджетах поселений Терского района, на проекты решений о внесении изменений в бюджеты поселений Терского района.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Специали</w:t>
      </w:r>
      <w:r>
        <w:rPr>
          <w:sz w:val="28"/>
          <w:szCs w:val="28"/>
          <w:highlight w:val="white"/>
        </w:rPr>
        <w:t xml:space="preserve">стами финансового отдела оказывалась практическая помощь главным распорядителям и бюджетополучателям при составлении месячной, квартальной и годовой отчетности и предоставлялись консультации по ведению бюджетного учета и применению бюджетной классификации.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Ежемесячно проводилась сверка по поступившим доходам и произведенным кассовым расходам данных финансового отдела администрации Терского района с данными Управления Федерального казначейства по Мурманской области.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Готовились отчеты и информации по запросам от Министерств и </w:t>
      </w:r>
      <w:r>
        <w:rPr>
          <w:sz w:val="28"/>
          <w:szCs w:val="28"/>
          <w:highlight w:val="white"/>
        </w:rPr>
        <w:t xml:space="preserve">Комитетов Мурманской</w:t>
      </w:r>
      <w:r>
        <w:rPr>
          <w:sz w:val="28"/>
          <w:szCs w:val="28"/>
          <w:highlight w:val="white"/>
        </w:rPr>
        <w:t xml:space="preserve"> области.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Ежемесячно составлялись отчеты об использовании субвенций, субсидий и иных межбюджетных трансфертов, полученных из областного бюджета.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Контроль за правомерным, в том числе целевым и эффективным использованием бюджетных средств, соблюдением требований бюджетного законодательства является неотъемлемой частью работы финансового отдела по обеспеч</w:t>
      </w:r>
      <w:r>
        <w:rPr>
          <w:sz w:val="28"/>
          <w:szCs w:val="28"/>
          <w:highlight w:val="white"/>
        </w:rPr>
        <w:t xml:space="preserve">ению исполнения расходных обязательств. Такой контроль обеспечивает соблюдение финансовой дисциплины, ответственности и подотчетности в использовании бюджетных средств, способствуя повышению эффективности и прозрачности управления муниципальными финансами.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57" w:firstLine="709"/>
        <w:jc w:val="both"/>
        <w:rPr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С июня 2021 года полномочия финансового отдела по внутреннему муниципальному финансовому контролю перешли в администрацию Терского района.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57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 сайте Терского района имеется рубрика «Бюджет», где размещаются информационные материалы об исполнении </w:t>
      </w:r>
      <w:r>
        <w:rPr>
          <w:sz w:val="28"/>
          <w:szCs w:val="28"/>
          <w:highlight w:val="white"/>
        </w:rPr>
        <w:t xml:space="preserve">бюджета муниципального</w:t>
      </w:r>
      <w:r>
        <w:rPr>
          <w:sz w:val="28"/>
          <w:szCs w:val="28"/>
          <w:highlight w:val="white"/>
        </w:rPr>
        <w:t xml:space="preserve"> образования Терский район и бюджета муниципального образования городское поселение Умба Терского района, о результатах финансового контроля и иная информация в части бюджетного процесса.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Терского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                                           Новицкая</w:t>
      </w:r>
      <w:r>
        <w:rPr>
          <w:sz w:val="28"/>
          <w:szCs w:val="28"/>
        </w:rPr>
        <w:t xml:space="preserve"> И.В.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 New Roman">
    <w:panose1 w:val="02020603050405020304"/>
  </w:font>
  <w:font w:name="Courier New">
    <w:panose1 w:val="02070309020205020404"/>
  </w:font>
  <w:font w:name="TimesET">
    <w:panose1 w:val="02040503050201020203"/>
  </w:font>
  <w:font w:name="Arial">
    <w:panose1 w:val="020B0604020202020204"/>
  </w:font>
  <w:font w:name="Cambria">
    <w:panose1 w:val="0204050305040603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  <w:tabs>
          <w:tab w:val="num" w:pos="7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  <w:tabs>
          <w:tab w:val="num" w:pos="15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  <w:tabs>
          <w:tab w:val="num" w:pos="22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  <w:tabs>
          <w:tab w:val="num" w:pos="29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  <w:tabs>
          <w:tab w:val="num" w:pos="36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  <w:tabs>
          <w:tab w:val="num" w:pos="43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  <w:tabs>
          <w:tab w:val="num" w:pos="51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  <w:tabs>
          <w:tab w:val="num" w:pos="58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  <w:tabs>
          <w:tab w:val="num" w:pos="6540" w:leader="none"/>
        </w:tabs>
      </w:pPr>
    </w:lvl>
  </w:abstractNum>
  <w:abstractNum w:abstractNumId="4">
    <w:multiLevelType w:val="hybridMultilevel"/>
    <w:lvl w:ilvl="0">
      <w:start w:val="16"/>
      <w:numFmt w:val="decimal"/>
      <w:isLgl w:val="false"/>
      <w:suff w:val="tab"/>
      <w:lvlText w:val="%1."/>
      <w:lvlJc w:val="left"/>
      <w:pPr>
        <w:ind w:left="780" w:hanging="360"/>
        <w:tabs>
          <w:tab w:val="num" w:pos="7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20"/>
      <w:numFmt w:val="decimal"/>
      <w:isLgl w:val="false"/>
      <w:suff w:val="tab"/>
      <w:lvlText w:val="%1."/>
      <w:lvlJc w:val="left"/>
      <w:pPr>
        <w:ind w:left="780" w:hanging="360"/>
        <w:tabs>
          <w:tab w:val="num" w:pos="7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20"/>
      <w:numFmt w:val="decimal"/>
      <w:isLgl w:val="false"/>
      <w:suff w:val="tab"/>
      <w:lvlText w:val="%1."/>
      <w:lvlJc w:val="left"/>
      <w:pPr>
        <w:ind w:left="780" w:hanging="360"/>
        <w:tabs>
          <w:tab w:val="num" w:pos="7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  <w:tabs>
          <w:tab w:val="num" w:pos="15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  <w:tabs>
          <w:tab w:val="num" w:pos="22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  <w:tabs>
          <w:tab w:val="num" w:pos="29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  <w:tabs>
          <w:tab w:val="num" w:pos="36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  <w:tabs>
          <w:tab w:val="num" w:pos="43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  <w:tabs>
          <w:tab w:val="num" w:pos="51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  <w:tabs>
          <w:tab w:val="num" w:pos="58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  <w:tabs>
          <w:tab w:val="num" w:pos="654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  <w:tabs>
          <w:tab w:val="num" w:pos="7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  <w:tabs>
          <w:tab w:val="num" w:pos="15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  <w:tabs>
          <w:tab w:val="num" w:pos="22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  <w:tabs>
          <w:tab w:val="num" w:pos="29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  <w:tabs>
          <w:tab w:val="num" w:pos="36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  <w:tabs>
          <w:tab w:val="num" w:pos="43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  <w:tabs>
          <w:tab w:val="num" w:pos="51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  <w:tabs>
          <w:tab w:val="num" w:pos="58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  <w:tabs>
          <w:tab w:val="num" w:pos="654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4"/>
  </w:num>
  <w:num w:numId="5">
    <w:abstractNumId w:val="1"/>
  </w:num>
  <w:num w:numId="6">
    <w:abstractNumId w:val="0"/>
  </w:num>
  <w:num w:numId="7">
    <w:abstractNumId w:val="10"/>
  </w:num>
  <w:num w:numId="8">
    <w:abstractNumId w:val="12"/>
  </w:num>
  <w:num w:numId="9">
    <w:abstractNumId w:val="15"/>
  </w:num>
  <w:num w:numId="10">
    <w:abstractNumId w:val="6"/>
  </w:num>
  <w:num w:numId="11">
    <w:abstractNumId w:val="11"/>
  </w:num>
  <w:num w:numId="12">
    <w:abstractNumId w:val="2"/>
  </w:num>
  <w:num w:numId="13">
    <w:abstractNumId w:val="14"/>
  </w:num>
  <w:num w:numId="14">
    <w:abstractNumId w:val="7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Title Char"/>
    <w:basedOn w:val="694"/>
    <w:link w:val="717"/>
    <w:uiPriority w:val="10"/>
    <w:rPr>
      <w:sz w:val="48"/>
      <w:szCs w:val="48"/>
    </w:rPr>
  </w:style>
  <w:style w:type="character" w:styleId="687">
    <w:name w:val="Subtitle Char"/>
    <w:basedOn w:val="694"/>
    <w:link w:val="719"/>
    <w:uiPriority w:val="11"/>
    <w:rPr>
      <w:sz w:val="24"/>
      <w:szCs w:val="24"/>
    </w:rPr>
  </w:style>
  <w:style w:type="character" w:styleId="688">
    <w:name w:val="Quote Char"/>
    <w:link w:val="721"/>
    <w:uiPriority w:val="29"/>
    <w:rPr>
      <w:i/>
    </w:rPr>
  </w:style>
  <w:style w:type="character" w:styleId="689">
    <w:name w:val="Intense Quote Char"/>
    <w:link w:val="723"/>
    <w:uiPriority w:val="30"/>
    <w:rPr>
      <w:i/>
    </w:rPr>
  </w:style>
  <w:style w:type="character" w:styleId="690">
    <w:name w:val="Footnote Text Char"/>
    <w:link w:val="858"/>
    <w:uiPriority w:val="99"/>
    <w:rPr>
      <w:sz w:val="18"/>
    </w:rPr>
  </w:style>
  <w:style w:type="character" w:styleId="691">
    <w:name w:val="Endnote Text Char"/>
    <w:link w:val="861"/>
    <w:uiPriority w:val="99"/>
    <w:rPr>
      <w:sz w:val="20"/>
    </w:rPr>
  </w:style>
  <w:style w:type="paragraph" w:styleId="692" w:default="1">
    <w:name w:val="Normal"/>
    <w:qFormat/>
    <w:rPr>
      <w:sz w:val="24"/>
      <w:szCs w:val="24"/>
      <w:lang w:eastAsia="ru-RU"/>
    </w:rPr>
  </w:style>
  <w:style w:type="paragraph" w:styleId="693">
    <w:name w:val="Heading 1"/>
    <w:basedOn w:val="692"/>
    <w:next w:val="692"/>
    <w:link w:val="875"/>
    <w:qFormat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  <w:lang w:eastAsia="en-US"/>
    </w:rPr>
  </w:style>
  <w:style w:type="character" w:styleId="694" w:default="1">
    <w:name w:val="Default Paragraph Font"/>
    <w:uiPriority w:val="1"/>
    <w:semiHidden/>
    <w:unhideWhenUsed/>
  </w:style>
  <w:style w:type="table" w:styleId="69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paragraph" w:styleId="697" w:customStyle="1">
    <w:name w:val="Heading 1"/>
    <w:basedOn w:val="692"/>
    <w:next w:val="692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8" w:customStyle="1">
    <w:name w:val="Heading 1 Char"/>
    <w:link w:val="697"/>
    <w:uiPriority w:val="9"/>
    <w:rPr>
      <w:rFonts w:ascii="Arial" w:hAnsi="Arial" w:eastAsia="Arial" w:cs="Arial"/>
      <w:sz w:val="40"/>
      <w:szCs w:val="40"/>
    </w:rPr>
  </w:style>
  <w:style w:type="paragraph" w:styleId="699" w:customStyle="1">
    <w:name w:val="Heading 2"/>
    <w:basedOn w:val="692"/>
    <w:next w:val="692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0" w:customStyle="1">
    <w:name w:val="Heading 2 Char"/>
    <w:link w:val="699"/>
    <w:uiPriority w:val="9"/>
    <w:rPr>
      <w:rFonts w:ascii="Arial" w:hAnsi="Arial" w:eastAsia="Arial" w:cs="Arial"/>
      <w:sz w:val="34"/>
    </w:rPr>
  </w:style>
  <w:style w:type="paragraph" w:styleId="701" w:customStyle="1">
    <w:name w:val="Heading 3"/>
    <w:basedOn w:val="692"/>
    <w:next w:val="692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2" w:customStyle="1">
    <w:name w:val="Heading 3 Char"/>
    <w:link w:val="701"/>
    <w:uiPriority w:val="9"/>
    <w:rPr>
      <w:rFonts w:ascii="Arial" w:hAnsi="Arial" w:eastAsia="Arial" w:cs="Arial"/>
      <w:sz w:val="30"/>
      <w:szCs w:val="30"/>
    </w:rPr>
  </w:style>
  <w:style w:type="paragraph" w:styleId="703" w:customStyle="1">
    <w:name w:val="Heading 4"/>
    <w:basedOn w:val="692"/>
    <w:next w:val="692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Heading 4 Char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 w:customStyle="1">
    <w:name w:val="Heading 5"/>
    <w:basedOn w:val="692"/>
    <w:next w:val="692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706" w:customStyle="1">
    <w:name w:val="Heading 5 Char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 w:customStyle="1">
    <w:name w:val="Heading 6"/>
    <w:basedOn w:val="692"/>
    <w:next w:val="692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Heading 6 Char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 w:customStyle="1">
    <w:name w:val="Heading 7"/>
    <w:basedOn w:val="692"/>
    <w:next w:val="692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Heading 7 Char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 w:customStyle="1">
    <w:name w:val="Heading 8"/>
    <w:basedOn w:val="692"/>
    <w:next w:val="692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8 Char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 w:customStyle="1">
    <w:name w:val="Heading 9"/>
    <w:basedOn w:val="692"/>
    <w:next w:val="692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customStyle="1">
    <w:name w:val="Heading 9 Char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692"/>
    <w:uiPriority w:val="34"/>
    <w:qFormat/>
    <w:pPr>
      <w:contextualSpacing/>
      <w:ind w:left="720"/>
    </w:pPr>
  </w:style>
  <w:style w:type="paragraph" w:styleId="716">
    <w:name w:val="No Spacing"/>
    <w:uiPriority w:val="1"/>
    <w:qFormat/>
  </w:style>
  <w:style w:type="paragraph" w:styleId="717">
    <w:name w:val="Title"/>
    <w:basedOn w:val="692"/>
    <w:next w:val="692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 w:customStyle="1">
    <w:name w:val="Название Знак"/>
    <w:link w:val="717"/>
    <w:uiPriority w:val="10"/>
    <w:rPr>
      <w:sz w:val="48"/>
      <w:szCs w:val="48"/>
    </w:rPr>
  </w:style>
  <w:style w:type="paragraph" w:styleId="719">
    <w:name w:val="Subtitle"/>
    <w:basedOn w:val="692"/>
    <w:next w:val="692"/>
    <w:link w:val="720"/>
    <w:uiPriority w:val="11"/>
    <w:qFormat/>
    <w:pPr>
      <w:spacing w:before="200" w:after="200"/>
    </w:pPr>
  </w:style>
  <w:style w:type="character" w:styleId="720" w:customStyle="1">
    <w:name w:val="Подзаголовок Знак"/>
    <w:link w:val="719"/>
    <w:uiPriority w:val="11"/>
    <w:rPr>
      <w:sz w:val="24"/>
      <w:szCs w:val="24"/>
    </w:rPr>
  </w:style>
  <w:style w:type="paragraph" w:styleId="721">
    <w:name w:val="Quote"/>
    <w:basedOn w:val="692"/>
    <w:next w:val="692"/>
    <w:link w:val="722"/>
    <w:uiPriority w:val="29"/>
    <w:qFormat/>
    <w:pPr>
      <w:ind w:left="720" w:right="720"/>
    </w:pPr>
    <w:rPr>
      <w:i/>
    </w:rPr>
  </w:style>
  <w:style w:type="character" w:styleId="722" w:customStyle="1">
    <w:name w:val="Цитата 2 Знак"/>
    <w:link w:val="721"/>
    <w:uiPriority w:val="29"/>
    <w:rPr>
      <w:i/>
    </w:rPr>
  </w:style>
  <w:style w:type="paragraph" w:styleId="723">
    <w:name w:val="Intense Quote"/>
    <w:basedOn w:val="692"/>
    <w:next w:val="692"/>
    <w:link w:val="7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 w:customStyle="1">
    <w:name w:val="Выделенная цитата Знак"/>
    <w:link w:val="723"/>
    <w:uiPriority w:val="30"/>
    <w:rPr>
      <w:i/>
    </w:rPr>
  </w:style>
  <w:style w:type="paragraph" w:styleId="725" w:customStyle="1">
    <w:name w:val="Header"/>
    <w:basedOn w:val="692"/>
    <w:link w:val="72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6" w:customStyle="1">
    <w:name w:val="Header Char"/>
    <w:link w:val="725"/>
    <w:uiPriority w:val="99"/>
  </w:style>
  <w:style w:type="paragraph" w:styleId="727" w:customStyle="1">
    <w:name w:val="Footer"/>
    <w:basedOn w:val="692"/>
    <w:link w:val="72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8" w:customStyle="1">
    <w:name w:val="Footer Char"/>
    <w:link w:val="727"/>
    <w:uiPriority w:val="99"/>
  </w:style>
  <w:style w:type="paragraph" w:styleId="729" w:customStyle="1">
    <w:name w:val="Caption"/>
    <w:basedOn w:val="692"/>
    <w:next w:val="692"/>
    <w:link w:val="7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 w:customStyle="1">
    <w:name w:val="Caption Char"/>
    <w:link w:val="729"/>
    <w:uiPriority w:val="35"/>
    <w:rPr>
      <w:b/>
      <w:bCs/>
      <w:color w:val="4f81bd" w:themeColor="accent1"/>
      <w:sz w:val="18"/>
      <w:szCs w:val="18"/>
    </w:rPr>
  </w:style>
  <w:style w:type="table" w:styleId="731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6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0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1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9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7">
    <w:name w:val="Hyperlink"/>
    <w:basedOn w:val="694"/>
    <w:rPr>
      <w:color w:val="0000ff"/>
      <w:u w:val="single"/>
    </w:rPr>
  </w:style>
  <w:style w:type="paragraph" w:styleId="858">
    <w:name w:val="footnote text"/>
    <w:basedOn w:val="692"/>
    <w:link w:val="859"/>
    <w:uiPriority w:val="99"/>
    <w:semiHidden/>
    <w:unhideWhenUsed/>
    <w:pPr>
      <w:spacing w:after="40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uiPriority w:val="99"/>
    <w:unhideWhenUsed/>
    <w:rPr>
      <w:vertAlign w:val="superscript"/>
    </w:rPr>
  </w:style>
  <w:style w:type="paragraph" w:styleId="861">
    <w:name w:val="endnote text"/>
    <w:basedOn w:val="692"/>
    <w:link w:val="862"/>
    <w:uiPriority w:val="99"/>
    <w:semiHidden/>
    <w:unhideWhenUsed/>
    <w:rPr>
      <w:sz w:val="20"/>
    </w:rPr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uiPriority w:val="99"/>
    <w:semiHidden/>
    <w:unhideWhenUsed/>
    <w:rPr>
      <w:vertAlign w:val="superscript"/>
    </w:rPr>
  </w:style>
  <w:style w:type="paragraph" w:styleId="864">
    <w:name w:val="toc 1"/>
    <w:basedOn w:val="692"/>
    <w:next w:val="692"/>
    <w:uiPriority w:val="39"/>
    <w:unhideWhenUsed/>
    <w:pPr>
      <w:spacing w:after="57"/>
    </w:pPr>
  </w:style>
  <w:style w:type="paragraph" w:styleId="865">
    <w:name w:val="toc 2"/>
    <w:basedOn w:val="692"/>
    <w:next w:val="692"/>
    <w:uiPriority w:val="39"/>
    <w:unhideWhenUsed/>
    <w:pPr>
      <w:ind w:left="283"/>
      <w:spacing w:after="57"/>
    </w:pPr>
  </w:style>
  <w:style w:type="paragraph" w:styleId="866">
    <w:name w:val="toc 3"/>
    <w:basedOn w:val="692"/>
    <w:next w:val="692"/>
    <w:uiPriority w:val="39"/>
    <w:unhideWhenUsed/>
    <w:pPr>
      <w:ind w:left="567"/>
      <w:spacing w:after="57"/>
    </w:pPr>
  </w:style>
  <w:style w:type="paragraph" w:styleId="867">
    <w:name w:val="toc 4"/>
    <w:basedOn w:val="692"/>
    <w:next w:val="692"/>
    <w:uiPriority w:val="39"/>
    <w:unhideWhenUsed/>
    <w:pPr>
      <w:ind w:left="850"/>
      <w:spacing w:after="57"/>
    </w:pPr>
  </w:style>
  <w:style w:type="paragraph" w:styleId="868">
    <w:name w:val="toc 5"/>
    <w:basedOn w:val="692"/>
    <w:next w:val="692"/>
    <w:uiPriority w:val="39"/>
    <w:unhideWhenUsed/>
    <w:pPr>
      <w:ind w:left="1134"/>
      <w:spacing w:after="57"/>
    </w:pPr>
  </w:style>
  <w:style w:type="paragraph" w:styleId="869">
    <w:name w:val="toc 6"/>
    <w:basedOn w:val="692"/>
    <w:next w:val="692"/>
    <w:uiPriority w:val="39"/>
    <w:unhideWhenUsed/>
    <w:pPr>
      <w:ind w:left="1417"/>
      <w:spacing w:after="57"/>
    </w:pPr>
  </w:style>
  <w:style w:type="paragraph" w:styleId="870">
    <w:name w:val="toc 7"/>
    <w:basedOn w:val="692"/>
    <w:next w:val="692"/>
    <w:uiPriority w:val="39"/>
    <w:unhideWhenUsed/>
    <w:pPr>
      <w:ind w:left="1701"/>
      <w:spacing w:after="57"/>
    </w:pPr>
  </w:style>
  <w:style w:type="paragraph" w:styleId="871">
    <w:name w:val="toc 8"/>
    <w:basedOn w:val="692"/>
    <w:next w:val="692"/>
    <w:uiPriority w:val="39"/>
    <w:unhideWhenUsed/>
    <w:pPr>
      <w:ind w:left="1984"/>
      <w:spacing w:after="57"/>
    </w:pPr>
  </w:style>
  <w:style w:type="paragraph" w:styleId="872">
    <w:name w:val="toc 9"/>
    <w:basedOn w:val="692"/>
    <w:next w:val="692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692"/>
    <w:next w:val="692"/>
    <w:uiPriority w:val="99"/>
    <w:unhideWhenUsed/>
  </w:style>
  <w:style w:type="character" w:styleId="875" w:customStyle="1">
    <w:name w:val="Заголовок 1 Знак"/>
    <w:basedOn w:val="694"/>
    <w:link w:val="693"/>
    <w:rPr>
      <w:rFonts w:ascii="Cambria" w:hAnsi="Cambria"/>
      <w:b/>
      <w:bCs/>
      <w:sz w:val="32"/>
      <w:szCs w:val="32"/>
      <w:lang w:val="ru-RU" w:eastAsia="en-US" w:bidi="ar-SA"/>
    </w:rPr>
  </w:style>
  <w:style w:type="paragraph" w:styleId="876">
    <w:name w:val="Body Text Indent 2"/>
    <w:basedOn w:val="692"/>
    <w:semiHidden/>
    <w:pPr>
      <w:ind w:firstLine="720"/>
      <w:jc w:val="both"/>
    </w:pPr>
    <w:rPr>
      <w:rFonts w:ascii="TimesET" w:hAnsi="TimesET"/>
    </w:rPr>
  </w:style>
  <w:style w:type="paragraph" w:styleId="877">
    <w:name w:val="Body Text Indent 3"/>
    <w:basedOn w:val="692"/>
    <w:link w:val="878"/>
    <w:semiHidden/>
    <w:pPr>
      <w:ind w:firstLine="720"/>
      <w:jc w:val="center"/>
    </w:pPr>
    <w:rPr>
      <w:rFonts w:ascii="TimesET" w:hAnsi="TimesET"/>
    </w:rPr>
  </w:style>
  <w:style w:type="character" w:styleId="878" w:customStyle="1">
    <w:name w:val="Основной текст с отступом 3 Знак"/>
    <w:basedOn w:val="694"/>
    <w:link w:val="877"/>
    <w:semiHidden/>
    <w:rPr>
      <w:rFonts w:ascii="TimesET" w:hAnsi="TimesET"/>
      <w:sz w:val="24"/>
      <w:szCs w:val="24"/>
      <w:lang w:val="ru-RU" w:eastAsia="ru-RU" w:bidi="ar-SA"/>
    </w:rPr>
  </w:style>
  <w:style w:type="paragraph" w:styleId="879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880">
    <w:name w:val="Body Text"/>
    <w:basedOn w:val="692"/>
    <w:link w:val="881"/>
    <w:pPr>
      <w:spacing w:after="120"/>
    </w:pPr>
  </w:style>
  <w:style w:type="character" w:styleId="881" w:customStyle="1">
    <w:name w:val="Основной текст Знак"/>
    <w:basedOn w:val="694"/>
    <w:link w:val="880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результатах деятельности</dc:title>
  <dc:creator>Finance</dc:creator>
  <cp:lastModifiedBy>m_im2010</cp:lastModifiedBy>
  <cp:revision>238</cp:revision>
  <dcterms:created xsi:type="dcterms:W3CDTF">2014-02-24T05:49:00Z</dcterms:created>
  <dcterms:modified xsi:type="dcterms:W3CDTF">2025-02-03T12:31:09Z</dcterms:modified>
  <cp:version>786432</cp:version>
</cp:coreProperties>
</file>